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507181" w:rsidRPr="00B82D15" w14:paraId="3FF9CC43" w14:textId="77777777" w:rsidTr="00352E1A">
        <w:trPr>
          <w:trHeight w:val="1080"/>
          <w:jc w:val="center"/>
        </w:trPr>
        <w:tc>
          <w:tcPr>
            <w:tcW w:w="11221" w:type="dxa"/>
            <w:gridSpan w:val="3"/>
          </w:tcPr>
          <w:p w14:paraId="3FF9CC41" w14:textId="77777777" w:rsidR="00183E6E" w:rsidRDefault="00183E6E" w:rsidP="000772D4">
            <w:pPr>
              <w:ind w:left="733"/>
              <w:rPr>
                <w:i/>
              </w:rPr>
            </w:pPr>
            <w:r>
              <w:rPr>
                <w:i/>
                <w:noProof/>
              </w:rPr>
              <w:drawing>
                <wp:inline distT="0" distB="0" distL="0" distR="0" wp14:anchorId="3FF9CC52" wp14:editId="409B65E4">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FF9CC42" w14:textId="77777777" w:rsidR="000772D4" w:rsidRPr="000772D4" w:rsidRDefault="000772D4" w:rsidP="000772D4">
            <w:pPr>
              <w:ind w:left="45"/>
              <w:rPr>
                <w:i/>
              </w:rPr>
            </w:pPr>
          </w:p>
        </w:tc>
      </w:tr>
      <w:tr w:rsidR="004E21EB" w:rsidRPr="004E21EB" w14:paraId="3FF9CC4A" w14:textId="77777777" w:rsidTr="00352E1A">
        <w:trPr>
          <w:trHeight w:val="585"/>
          <w:jc w:val="center"/>
        </w:trPr>
        <w:tc>
          <w:tcPr>
            <w:tcW w:w="4442" w:type="dxa"/>
            <w:vAlign w:val="center"/>
          </w:tcPr>
          <w:p w14:paraId="3FF9CC45" w14:textId="77777777" w:rsidR="000772D4" w:rsidRDefault="000772D4" w:rsidP="00352E1A">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2D6415B2" w14:textId="77777777" w:rsidR="00507181" w:rsidRDefault="00660279" w:rsidP="00352E1A">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73A11E82" w14:textId="77777777" w:rsidR="00546CD7" w:rsidRDefault="00546CD7" w:rsidP="00352E1A">
            <w:pPr>
              <w:spacing w:before="60"/>
              <w:ind w:left="734"/>
              <w:rPr>
                <w:rFonts w:ascii="Proxima Nova Rg" w:hAnsi="Proxima Nova Rg" w:cs="Arial"/>
                <w:b/>
                <w:caps/>
                <w:noProof/>
                <w:sz w:val="20"/>
              </w:rPr>
            </w:pPr>
          </w:p>
          <w:p w14:paraId="3FF9CC47" w14:textId="66081171" w:rsidR="00546CD7" w:rsidRPr="00352E1A" w:rsidRDefault="00546CD7" w:rsidP="00352E1A">
            <w:pPr>
              <w:spacing w:before="60"/>
              <w:ind w:left="734"/>
              <w:rPr>
                <w:rFonts w:ascii="Proxima Nova Rg" w:hAnsi="Proxima Nova Rg" w:cs="Arial"/>
                <w:b/>
                <w:caps/>
                <w:noProof/>
                <w:sz w:val="20"/>
              </w:rPr>
            </w:pPr>
          </w:p>
        </w:tc>
        <w:tc>
          <w:tcPr>
            <w:tcW w:w="2987" w:type="dxa"/>
            <w:vAlign w:val="center"/>
          </w:tcPr>
          <w:p w14:paraId="3FF9CC48" w14:textId="77777777" w:rsidR="00B033C0" w:rsidRPr="004E21EB" w:rsidRDefault="00B033C0" w:rsidP="00F4150F">
            <w:pPr>
              <w:ind w:left="250"/>
              <w:rPr>
                <w:rFonts w:ascii="Proxima Nova Rg" w:hAnsi="Proxima Nova Rg"/>
                <w:noProof/>
              </w:rPr>
            </w:pPr>
          </w:p>
        </w:tc>
        <w:tc>
          <w:tcPr>
            <w:tcW w:w="3792" w:type="dxa"/>
            <w:vAlign w:val="center"/>
          </w:tcPr>
          <w:p w14:paraId="3FF9CC49" w14:textId="77777777" w:rsidR="00B033C0" w:rsidRPr="004E21EB" w:rsidRDefault="00B033C0" w:rsidP="00F4150F">
            <w:pPr>
              <w:ind w:left="593"/>
              <w:rPr>
                <w:rFonts w:ascii="Proxima Nova Rg" w:hAnsi="Proxima Nova Rg" w:cs="Arial"/>
                <w:caps/>
                <w:noProof/>
                <w:sz w:val="20"/>
              </w:rPr>
            </w:pPr>
          </w:p>
        </w:tc>
      </w:tr>
    </w:tbl>
    <w:p w14:paraId="299DAE52" w14:textId="3BA6720D" w:rsidR="00DD4D90" w:rsidRPr="007709BE" w:rsidRDefault="00DD4D90" w:rsidP="00DD4D90">
      <w:pPr>
        <w:ind w:firstLine="720"/>
        <w:jc w:val="center"/>
        <w:rPr>
          <w:rFonts w:ascii="Arial" w:hAnsi="Arial" w:cs="Arial"/>
          <w:b/>
          <w:sz w:val="28"/>
          <w:szCs w:val="28"/>
        </w:rPr>
      </w:pPr>
      <w:r w:rsidRPr="007709BE">
        <w:rPr>
          <w:rFonts w:ascii="Arial" w:hAnsi="Arial" w:cs="Arial"/>
          <w:b/>
          <w:sz w:val="28"/>
          <w:szCs w:val="28"/>
        </w:rPr>
        <w:t>Request for Information (</w:t>
      </w:r>
      <w:proofErr w:type="spellStart"/>
      <w:r w:rsidRPr="007709BE">
        <w:rPr>
          <w:rFonts w:ascii="Arial" w:hAnsi="Arial" w:cs="Arial"/>
          <w:b/>
          <w:sz w:val="28"/>
          <w:szCs w:val="28"/>
        </w:rPr>
        <w:t>RFI</w:t>
      </w:r>
      <w:proofErr w:type="spellEnd"/>
      <w:r w:rsidRPr="007709BE">
        <w:rPr>
          <w:rFonts w:ascii="Arial" w:hAnsi="Arial" w:cs="Arial"/>
          <w:b/>
          <w:sz w:val="28"/>
          <w:szCs w:val="28"/>
        </w:rPr>
        <w:t xml:space="preserve">) </w:t>
      </w:r>
      <w:r w:rsidR="00F3298B">
        <w:rPr>
          <w:rFonts w:ascii="Arial" w:hAnsi="Arial" w:cs="Arial"/>
          <w:b/>
          <w:sz w:val="28"/>
          <w:szCs w:val="28"/>
        </w:rPr>
        <w:t>24</w:t>
      </w:r>
      <w:r w:rsidR="008F757C">
        <w:rPr>
          <w:rFonts w:ascii="Arial" w:hAnsi="Arial" w:cs="Arial"/>
          <w:b/>
          <w:sz w:val="28"/>
          <w:szCs w:val="28"/>
        </w:rPr>
        <w:t>-</w:t>
      </w:r>
      <w:r w:rsidR="008F757C">
        <w:rPr>
          <w:rFonts w:ascii="Arial" w:hAnsi="Arial" w:cs="Arial"/>
          <w:b/>
          <w:sz w:val="28"/>
          <w:szCs w:val="28"/>
        </w:rPr>
        <w:t>600</w:t>
      </w:r>
    </w:p>
    <w:p w14:paraId="21354733" w14:textId="05BA43BB" w:rsidR="00DD4D90" w:rsidRPr="007709BE" w:rsidRDefault="00165937" w:rsidP="00DD4D90">
      <w:pPr>
        <w:ind w:firstLine="720"/>
        <w:jc w:val="center"/>
        <w:rPr>
          <w:rFonts w:ascii="Arial" w:hAnsi="Arial" w:cs="Arial"/>
          <w:b/>
          <w:sz w:val="28"/>
          <w:szCs w:val="28"/>
        </w:rPr>
      </w:pPr>
      <w:r w:rsidRPr="007709BE">
        <w:rPr>
          <w:rFonts w:ascii="Arial" w:hAnsi="Arial" w:cs="Arial"/>
          <w:b/>
          <w:sz w:val="28"/>
          <w:szCs w:val="28"/>
        </w:rPr>
        <w:t>Real Property Appraisal Services</w:t>
      </w:r>
      <w:r w:rsidR="00777B88">
        <w:rPr>
          <w:rFonts w:ascii="Arial" w:hAnsi="Arial" w:cs="Arial"/>
          <w:b/>
          <w:sz w:val="28"/>
          <w:szCs w:val="28"/>
        </w:rPr>
        <w:t xml:space="preserve"> Project Scope</w:t>
      </w:r>
    </w:p>
    <w:p w14:paraId="77BC8F58" w14:textId="77777777" w:rsidR="002B1897" w:rsidRDefault="002B1897" w:rsidP="005526C6">
      <w:pPr>
        <w:jc w:val="both"/>
        <w:rPr>
          <w:rFonts w:ascii="Arial" w:hAnsi="Arial" w:cs="Arial"/>
        </w:rPr>
      </w:pPr>
      <w:r w:rsidRPr="002B1897">
        <w:rPr>
          <w:rFonts w:ascii="Arial" w:hAnsi="Arial" w:cs="Arial"/>
        </w:rPr>
        <w:t>The New York State Department of Taxation and Finance (the “Department” or “DTF”) is requesting qualified vendors to supply the Department with information pertaining to the availability of real property appraisal services specific to special franchise properties.</w:t>
      </w:r>
    </w:p>
    <w:p w14:paraId="38CBAF97" w14:textId="384FC96B" w:rsidR="002B1897" w:rsidRPr="002B1897" w:rsidRDefault="002B1897" w:rsidP="005526C6">
      <w:pPr>
        <w:jc w:val="both"/>
        <w:rPr>
          <w:rFonts w:ascii="Arial" w:hAnsi="Arial" w:cs="Arial"/>
          <w:b/>
          <w:bCs/>
        </w:rPr>
      </w:pPr>
      <w:r w:rsidRPr="002B1897">
        <w:rPr>
          <w:rFonts w:ascii="Arial" w:hAnsi="Arial" w:cs="Arial"/>
          <w:b/>
          <w:bCs/>
        </w:rPr>
        <w:t>New York State Department of Taxation and Finance Background:</w:t>
      </w:r>
    </w:p>
    <w:p w14:paraId="487983C2" w14:textId="7A4D82AB" w:rsidR="002B1897" w:rsidRDefault="002B1897" w:rsidP="005526C6">
      <w:pPr>
        <w:jc w:val="both"/>
        <w:rPr>
          <w:rFonts w:ascii="Arial" w:hAnsi="Arial" w:cs="Arial"/>
        </w:rPr>
      </w:pPr>
      <w:r w:rsidRPr="002B1897">
        <w:rPr>
          <w:rFonts w:ascii="Arial" w:hAnsi="Arial" w:cs="Arial"/>
        </w:rPr>
        <w:t>The Department of Taxation and Finance (DTF) collects tax revenue and provides associated services in support of certain New York State government operations. In fulfilling its responsibilities, the Department collects and accounts for $108.6 billion in State taxes and about $47.9 billion in local taxes; administers 34 State and 15 local taxes, including New York City and City of Yonkers income taxes, as well as the Metropolitan Commuter Transportation Mobility Tax; and processes about 27 million returns. The Department also manages the State Treasury, which provides investment and cash management services to various State agencies and public benefit corporations, and acts on the Tax Commissioner's behalf as joint custodian of the State's General Checking Account. On June 6, 2010, the Department statutorily merged with the former Office of Real Property Services (</w:t>
      </w:r>
      <w:proofErr w:type="spellStart"/>
      <w:r w:rsidRPr="002B1897">
        <w:rPr>
          <w:rFonts w:ascii="Arial" w:hAnsi="Arial" w:cs="Arial"/>
        </w:rPr>
        <w:t>ORPS</w:t>
      </w:r>
      <w:proofErr w:type="spellEnd"/>
      <w:r w:rsidRPr="002B1897">
        <w:rPr>
          <w:rFonts w:ascii="Arial" w:hAnsi="Arial" w:cs="Arial"/>
        </w:rPr>
        <w:t>) in order to realize significant savings and efficiencies, as well as enhance the State's oversight of local property tax administration.</w:t>
      </w:r>
    </w:p>
    <w:p w14:paraId="1A7543F2" w14:textId="3BADA9D5" w:rsidR="002B1897" w:rsidRPr="002B1897" w:rsidRDefault="002B1897" w:rsidP="005526C6">
      <w:pPr>
        <w:jc w:val="both"/>
        <w:rPr>
          <w:rFonts w:ascii="Arial" w:hAnsi="Arial" w:cs="Arial"/>
          <w:b/>
          <w:bCs/>
        </w:rPr>
      </w:pPr>
      <w:r w:rsidRPr="002B1897">
        <w:rPr>
          <w:rFonts w:ascii="Arial" w:hAnsi="Arial" w:cs="Arial"/>
          <w:b/>
          <w:bCs/>
        </w:rPr>
        <w:t>Objective:</w:t>
      </w:r>
    </w:p>
    <w:p w14:paraId="4BDBDC31" w14:textId="77777777" w:rsidR="00F3298B" w:rsidRPr="00F3298B" w:rsidRDefault="00F3298B" w:rsidP="002B1897">
      <w:pPr>
        <w:widowControl w:val="0"/>
        <w:tabs>
          <w:tab w:val="left" w:pos="601"/>
        </w:tabs>
        <w:autoSpaceDE w:val="0"/>
        <w:autoSpaceDN w:val="0"/>
        <w:spacing w:before="11" w:line="240" w:lineRule="auto"/>
        <w:ind w:right="114"/>
        <w:jc w:val="both"/>
        <w:rPr>
          <w:rFonts w:ascii="Arial" w:eastAsia="Arial" w:hAnsi="Arial" w:cs="Arial"/>
          <w:bCs/>
          <w:lang w:bidi="en-US"/>
        </w:rPr>
      </w:pPr>
      <w:r w:rsidRPr="00F3298B">
        <w:rPr>
          <w:rFonts w:ascii="Arial" w:eastAsia="Arial" w:hAnsi="Arial" w:cs="Arial"/>
          <w:bCs/>
          <w:lang w:bidi="en-US"/>
        </w:rPr>
        <w:t>Article 6 of the Real Property Tax Law (“</w:t>
      </w:r>
      <w:proofErr w:type="spellStart"/>
      <w:r w:rsidRPr="00F3298B">
        <w:rPr>
          <w:rFonts w:ascii="Arial" w:eastAsia="Arial" w:hAnsi="Arial" w:cs="Arial"/>
          <w:bCs/>
          <w:lang w:bidi="en-US"/>
        </w:rPr>
        <w:t>RPTL</w:t>
      </w:r>
      <w:proofErr w:type="spellEnd"/>
      <w:r w:rsidRPr="00F3298B">
        <w:rPr>
          <w:rFonts w:ascii="Arial" w:eastAsia="Arial" w:hAnsi="Arial" w:cs="Arial"/>
          <w:bCs/>
          <w:lang w:bidi="en-US"/>
        </w:rPr>
        <w:t>”) requires the New York State Department of Taxation and Finance (“the Department”) to determine the assessed value of special franchise property throughout New York State and defend the valuation of that property when challenged in administrative and judicial proceedings. Special franchise property is valued using the Reproduction Cost New Less Depreciation (“</w:t>
      </w:r>
      <w:proofErr w:type="spellStart"/>
      <w:r w:rsidRPr="00F3298B">
        <w:rPr>
          <w:rFonts w:ascii="Arial" w:eastAsia="Arial" w:hAnsi="Arial" w:cs="Arial"/>
          <w:bCs/>
          <w:lang w:bidi="en-US"/>
        </w:rPr>
        <w:t>RCNLD</w:t>
      </w:r>
      <w:proofErr w:type="spellEnd"/>
      <w:r w:rsidRPr="00F3298B">
        <w:rPr>
          <w:rFonts w:ascii="Arial" w:eastAsia="Arial" w:hAnsi="Arial" w:cs="Arial"/>
          <w:bCs/>
          <w:lang w:bidi="en-US"/>
        </w:rPr>
        <w:t xml:space="preserve">”) method of valuation. Although it is the Department that determines the assessed value of that property, it is the local assessing unit that enters the final assessment on the local assessment roll and levies real property tax based upon the assessment. The judicial review of real property valuation, including special franchise property, requires litigants to submit appraisal reports prepared by certified licensed appraisers. </w:t>
      </w:r>
      <w:proofErr w:type="spellStart"/>
      <w:r w:rsidRPr="00F3298B">
        <w:rPr>
          <w:rFonts w:ascii="Arial" w:eastAsia="Arial" w:hAnsi="Arial" w:cs="Arial"/>
          <w:bCs/>
          <w:lang w:bidi="en-US"/>
        </w:rPr>
        <w:t>RPTL</w:t>
      </w:r>
      <w:proofErr w:type="spellEnd"/>
      <w:r w:rsidRPr="00F3298B">
        <w:rPr>
          <w:rFonts w:ascii="Arial" w:eastAsia="Arial" w:hAnsi="Arial" w:cs="Arial"/>
          <w:bCs/>
          <w:lang w:bidi="en-US"/>
        </w:rPr>
        <w:t xml:space="preserve"> § 742 provides that counsel designated to represent the Department may employ experts, and the compensation of such experts and their necessary expenses incurred shall be a charge upon the assessing unit upon whose roll the assessment appears.</w:t>
      </w:r>
    </w:p>
    <w:p w14:paraId="4C9B1B3E" w14:textId="234CFE54" w:rsidR="00F3298B" w:rsidRPr="00F3298B" w:rsidRDefault="00F3298B" w:rsidP="002B1897">
      <w:pPr>
        <w:widowControl w:val="0"/>
        <w:tabs>
          <w:tab w:val="left" w:pos="601"/>
        </w:tabs>
        <w:autoSpaceDE w:val="0"/>
        <w:autoSpaceDN w:val="0"/>
        <w:spacing w:before="11" w:line="240" w:lineRule="auto"/>
        <w:ind w:right="114"/>
        <w:jc w:val="both"/>
        <w:rPr>
          <w:rFonts w:ascii="Arial" w:eastAsia="Arial" w:hAnsi="Arial" w:cs="Arial"/>
          <w:bCs/>
          <w:lang w:bidi="en-US"/>
        </w:rPr>
      </w:pPr>
      <w:r w:rsidRPr="00F3298B">
        <w:rPr>
          <w:rFonts w:ascii="Arial" w:eastAsia="Arial" w:hAnsi="Arial" w:cs="Arial"/>
          <w:bCs/>
          <w:lang w:bidi="en-US"/>
        </w:rPr>
        <w:t>The expert appraiser will need to review and analyze the original cost data</w:t>
      </w:r>
      <w:r w:rsidRPr="00F3298B">
        <w:rPr>
          <w:rFonts w:ascii="Arial" w:eastAsia="Calibri" w:hAnsi="Arial" w:cs="Arial"/>
        </w:rPr>
        <w:t xml:space="preserve"> </w:t>
      </w:r>
      <w:r w:rsidRPr="00F3298B">
        <w:rPr>
          <w:rFonts w:ascii="Arial" w:eastAsia="Arial" w:hAnsi="Arial" w:cs="Arial"/>
          <w:bCs/>
          <w:lang w:bidi="en-US"/>
        </w:rPr>
        <w:t>for the 2019, 2020, 2021, 2022, 2023 and 2024 assessment rolls for the relevant property (see “Special Franchise Property by Company and Location”</w:t>
      </w:r>
      <w:r w:rsidR="00FA1FEA">
        <w:rPr>
          <w:rFonts w:ascii="Arial" w:eastAsia="Arial" w:hAnsi="Arial" w:cs="Arial"/>
          <w:bCs/>
          <w:lang w:bidi="en-US"/>
        </w:rPr>
        <w:t xml:space="preserve"> below</w:t>
      </w:r>
      <w:r w:rsidRPr="00F3298B">
        <w:rPr>
          <w:rFonts w:ascii="Arial" w:eastAsia="Arial" w:hAnsi="Arial" w:cs="Arial"/>
          <w:bCs/>
          <w:lang w:bidi="en-US"/>
        </w:rPr>
        <w:t>) (herein referred to as “Special Franchise Property”) owned by Liberty Utilities Corporation (“the Litigant”), review and analyze any other relevant materials obtained through discovery, perform a site inspection of the relevant property, prepare a draft appraisal report</w:t>
      </w:r>
      <w:r w:rsidRPr="00F3298B">
        <w:rPr>
          <w:rFonts w:ascii="Arial" w:eastAsia="Calibri" w:hAnsi="Arial" w:cs="Arial"/>
        </w:rPr>
        <w:t xml:space="preserve"> </w:t>
      </w:r>
      <w:r w:rsidRPr="00F3298B">
        <w:rPr>
          <w:rFonts w:ascii="Arial" w:eastAsia="Arial" w:hAnsi="Arial" w:cs="Arial"/>
          <w:bCs/>
          <w:lang w:bidi="en-US"/>
        </w:rPr>
        <w:t xml:space="preserve">of separate full market values, by municipality, for the Litigant’s Special </w:t>
      </w:r>
      <w:r w:rsidRPr="00F3298B">
        <w:rPr>
          <w:rFonts w:ascii="Arial" w:eastAsia="Arial" w:hAnsi="Arial" w:cs="Arial"/>
          <w:bCs/>
          <w:lang w:bidi="en-US"/>
        </w:rPr>
        <w:lastRenderedPageBreak/>
        <w:t>Franchise Property, prepare a final appraisal report after consulting with the Department and our counsel at the Office of the Attorney General (“OAG”) regarding the draft appraisal report, review and analyze the appraisal report prepared by or on behalf of the Litigant, and, if necessary, prepare for and present testimony in support of the final appraisal report at trial. If the matter is not resolved before trial, the expert appraiser may also be needed to consult with the Department and OAG regarding our post-trial submissions.</w:t>
      </w:r>
    </w:p>
    <w:p w14:paraId="7570F263" w14:textId="77777777" w:rsidR="00F3298B" w:rsidRPr="00F3298B" w:rsidRDefault="00F3298B" w:rsidP="002B1897">
      <w:pPr>
        <w:widowControl w:val="0"/>
        <w:tabs>
          <w:tab w:val="left" w:pos="601"/>
        </w:tabs>
        <w:autoSpaceDE w:val="0"/>
        <w:autoSpaceDN w:val="0"/>
        <w:spacing w:before="1" w:after="0" w:line="240" w:lineRule="auto"/>
        <w:ind w:right="114"/>
        <w:jc w:val="both"/>
        <w:rPr>
          <w:rFonts w:ascii="Arial" w:eastAsia="Arial" w:hAnsi="Arial" w:cs="Arial"/>
          <w:lang w:bidi="en-US"/>
        </w:rPr>
      </w:pPr>
      <w:r w:rsidRPr="00F3298B">
        <w:rPr>
          <w:rFonts w:ascii="Arial" w:eastAsia="Arial" w:hAnsi="Arial" w:cs="Arial"/>
          <w:b/>
          <w:lang w:bidi="en-US"/>
        </w:rPr>
        <w:t xml:space="preserve">Project Scope/Deliverables: </w:t>
      </w:r>
    </w:p>
    <w:p w14:paraId="090FAA24" w14:textId="77777777" w:rsidR="00F3298B" w:rsidRPr="00F3298B" w:rsidRDefault="00F3298B" w:rsidP="00F3298B">
      <w:pPr>
        <w:widowControl w:val="0"/>
        <w:tabs>
          <w:tab w:val="left" w:pos="601"/>
        </w:tabs>
        <w:autoSpaceDE w:val="0"/>
        <w:autoSpaceDN w:val="0"/>
        <w:spacing w:before="1" w:after="0" w:line="240" w:lineRule="auto"/>
        <w:ind w:right="114"/>
        <w:jc w:val="both"/>
        <w:rPr>
          <w:rFonts w:ascii="Arial" w:eastAsia="Arial" w:hAnsi="Arial" w:cs="Arial"/>
          <w:bCs/>
          <w:i/>
          <w:iCs/>
          <w:lang w:bidi="en-US"/>
        </w:rPr>
      </w:pPr>
    </w:p>
    <w:p w14:paraId="38FEE964" w14:textId="77777777" w:rsidR="00F3298B" w:rsidRPr="00F3298B" w:rsidRDefault="00F3298B" w:rsidP="002B1897">
      <w:pPr>
        <w:widowControl w:val="0"/>
        <w:tabs>
          <w:tab w:val="left" w:pos="601"/>
        </w:tabs>
        <w:autoSpaceDE w:val="0"/>
        <w:autoSpaceDN w:val="0"/>
        <w:spacing w:before="1" w:after="0" w:line="240" w:lineRule="auto"/>
        <w:ind w:right="114"/>
        <w:jc w:val="both"/>
        <w:rPr>
          <w:rFonts w:ascii="Arial" w:eastAsia="Arial" w:hAnsi="Arial" w:cs="Arial"/>
          <w:bCs/>
          <w:lang w:bidi="en-US"/>
        </w:rPr>
      </w:pPr>
      <w:r w:rsidRPr="00F3298B">
        <w:rPr>
          <w:rFonts w:ascii="Arial" w:eastAsia="Arial" w:hAnsi="Arial" w:cs="Arial"/>
          <w:bCs/>
          <w:lang w:bidi="en-US"/>
        </w:rPr>
        <w:t>The project scope/Deliverables can be summarized as six project tasks:</w:t>
      </w:r>
    </w:p>
    <w:p w14:paraId="264C71A7" w14:textId="77777777" w:rsidR="00F3298B" w:rsidRPr="00F3298B" w:rsidRDefault="00F3298B" w:rsidP="00F3298B">
      <w:pPr>
        <w:widowControl w:val="0"/>
        <w:tabs>
          <w:tab w:val="left" w:pos="601"/>
        </w:tabs>
        <w:autoSpaceDE w:val="0"/>
        <w:autoSpaceDN w:val="0"/>
        <w:spacing w:before="1" w:after="0" w:line="240" w:lineRule="auto"/>
        <w:ind w:left="600" w:right="114"/>
        <w:jc w:val="both"/>
        <w:rPr>
          <w:rFonts w:ascii="Arial" w:eastAsia="Arial" w:hAnsi="Arial" w:cs="Arial"/>
          <w:bCs/>
          <w:lang w:bidi="en-US"/>
        </w:rPr>
      </w:pPr>
    </w:p>
    <w:p w14:paraId="5DB0E2B7" w14:textId="77777777" w:rsidR="00F3298B" w:rsidRPr="00F3298B" w:rsidRDefault="00F3298B" w:rsidP="00F3298B">
      <w:pPr>
        <w:widowControl w:val="0"/>
        <w:numPr>
          <w:ilvl w:val="0"/>
          <w:numId w:val="4"/>
        </w:numPr>
        <w:tabs>
          <w:tab w:val="left" w:pos="601"/>
        </w:tabs>
        <w:autoSpaceDE w:val="0"/>
        <w:autoSpaceDN w:val="0"/>
        <w:spacing w:before="1" w:line="240" w:lineRule="auto"/>
        <w:ind w:right="114"/>
        <w:jc w:val="both"/>
        <w:rPr>
          <w:rFonts w:ascii="Arial" w:eastAsia="Arial" w:hAnsi="Arial" w:cs="Arial"/>
          <w:bCs/>
          <w:lang w:bidi="en-US"/>
        </w:rPr>
      </w:pPr>
      <w:r w:rsidRPr="00F3298B">
        <w:rPr>
          <w:rFonts w:ascii="Arial" w:eastAsia="Arial" w:hAnsi="Arial" w:cs="Arial"/>
          <w:bCs/>
          <w:lang w:bidi="en-US"/>
        </w:rPr>
        <w:t xml:space="preserve">Review and analyze the original cost data provided by the Department, as well as any additional relevant data obtained through discovery or by other means. Special franchise companies are required to annually file the original cost data of their real property with the Department. Original cost data forms the basis of valuing property using </w:t>
      </w:r>
      <w:proofErr w:type="spellStart"/>
      <w:r w:rsidRPr="00F3298B">
        <w:rPr>
          <w:rFonts w:ascii="Arial" w:eastAsia="Arial" w:hAnsi="Arial" w:cs="Arial"/>
          <w:bCs/>
          <w:lang w:bidi="en-US"/>
        </w:rPr>
        <w:t>RCNLD</w:t>
      </w:r>
      <w:proofErr w:type="spellEnd"/>
      <w:r w:rsidRPr="00F3298B">
        <w:rPr>
          <w:rFonts w:ascii="Arial" w:eastAsia="Arial" w:hAnsi="Arial" w:cs="Arial"/>
          <w:bCs/>
          <w:lang w:bidi="en-US"/>
        </w:rPr>
        <w:t xml:space="preserve">. After physical depreciation, functional obsolescence, economic obsolescence, and salvage values are applied to original cost, </w:t>
      </w:r>
      <w:proofErr w:type="spellStart"/>
      <w:r w:rsidRPr="00F3298B">
        <w:rPr>
          <w:rFonts w:ascii="Arial" w:eastAsia="Arial" w:hAnsi="Arial" w:cs="Arial"/>
          <w:bCs/>
          <w:lang w:bidi="en-US"/>
        </w:rPr>
        <w:t>RCNLD</w:t>
      </w:r>
      <w:proofErr w:type="spellEnd"/>
      <w:r w:rsidRPr="00F3298B">
        <w:rPr>
          <w:rFonts w:ascii="Arial" w:eastAsia="Arial" w:hAnsi="Arial" w:cs="Arial"/>
          <w:bCs/>
          <w:lang w:bidi="en-US"/>
        </w:rPr>
        <w:t xml:space="preserve"> is achieved. </w:t>
      </w:r>
    </w:p>
    <w:p w14:paraId="65F67885" w14:textId="77777777" w:rsidR="00F3298B" w:rsidRPr="00F3298B" w:rsidRDefault="00F3298B" w:rsidP="00F3298B">
      <w:pPr>
        <w:widowControl w:val="0"/>
        <w:numPr>
          <w:ilvl w:val="0"/>
          <w:numId w:val="4"/>
        </w:numPr>
        <w:tabs>
          <w:tab w:val="left" w:pos="601"/>
        </w:tabs>
        <w:autoSpaceDE w:val="0"/>
        <w:autoSpaceDN w:val="0"/>
        <w:spacing w:before="1" w:line="240" w:lineRule="auto"/>
        <w:ind w:right="114"/>
        <w:jc w:val="both"/>
        <w:rPr>
          <w:rFonts w:ascii="Arial" w:eastAsia="Arial" w:hAnsi="Arial" w:cs="Arial"/>
          <w:bCs/>
          <w:lang w:bidi="en-US"/>
        </w:rPr>
      </w:pPr>
      <w:r w:rsidRPr="00F3298B">
        <w:rPr>
          <w:rFonts w:ascii="Arial" w:eastAsia="Arial" w:hAnsi="Arial" w:cs="Arial"/>
          <w:bCs/>
          <w:lang w:bidi="en-US"/>
        </w:rPr>
        <w:t>Perform site inspection. It is customary in real property appraisals to perform a site inspection. Site inspections can help the appraiser get a better sense of the physical depreciation that actually applies to the property, and are necessary to prevent damning testimony during cross examination, i.e. without a site inspection, an appraiser would have to admit during cross examination that he or she has never even seen the property that he or she valued and is claiming to offer an expert opinion about.</w:t>
      </w:r>
    </w:p>
    <w:p w14:paraId="3B7A71B0" w14:textId="77777777" w:rsidR="00F3298B" w:rsidRPr="00F3298B" w:rsidRDefault="00F3298B" w:rsidP="00F3298B">
      <w:pPr>
        <w:widowControl w:val="0"/>
        <w:numPr>
          <w:ilvl w:val="0"/>
          <w:numId w:val="4"/>
        </w:numPr>
        <w:tabs>
          <w:tab w:val="left" w:pos="601"/>
        </w:tabs>
        <w:autoSpaceDE w:val="0"/>
        <w:autoSpaceDN w:val="0"/>
        <w:spacing w:before="1" w:line="240" w:lineRule="auto"/>
        <w:ind w:right="114"/>
        <w:jc w:val="both"/>
        <w:rPr>
          <w:rFonts w:ascii="Arial" w:eastAsia="Arial" w:hAnsi="Arial" w:cs="Arial"/>
          <w:bCs/>
          <w:lang w:bidi="en-US"/>
        </w:rPr>
      </w:pPr>
      <w:r w:rsidRPr="00F3298B">
        <w:rPr>
          <w:rFonts w:ascii="Arial" w:eastAsia="Arial" w:hAnsi="Arial" w:cs="Arial"/>
          <w:bCs/>
          <w:lang w:bidi="en-US"/>
        </w:rPr>
        <w:t xml:space="preserve">Prepare a draft appraisal report and final appraisal report. The review and analysis of the original cost data and other relevant materials, and the site inspection, culminates in the preparation of the appraisal report that is submitted to the court. The appraisal report explains the appraiser’s analysis and conclusion regarding the value the property and forms the basis of the appraiser’s testimony at trial. It is customary for the appraiser to prepare a draft appraisal report that is revised and finalized after consultation with the Department and OAG. The appraisal report will explain the original cost data filed by the company, will apply an index (such as the Handy-Whitman index) to trend the original cost values to present day values, will explain the extent of physical depreciation and how that depreciation impacts the property’s value, will explain, what if any obsolescence (functional and economic) apply and to what extent they reduce the value of the property, and will apply salvage values to further increase or decrease the value of the property if appropriate. The report will conclude with an expert opinion of the final value of the property for each of the years at issue using </w:t>
      </w:r>
      <w:proofErr w:type="spellStart"/>
      <w:r w:rsidRPr="00F3298B">
        <w:rPr>
          <w:rFonts w:ascii="Arial" w:eastAsia="Arial" w:hAnsi="Arial" w:cs="Arial"/>
          <w:bCs/>
          <w:lang w:bidi="en-US"/>
        </w:rPr>
        <w:t>RCNLD</w:t>
      </w:r>
      <w:proofErr w:type="spellEnd"/>
      <w:r w:rsidRPr="00F3298B">
        <w:rPr>
          <w:rFonts w:ascii="Arial" w:eastAsia="Arial" w:hAnsi="Arial" w:cs="Arial"/>
          <w:bCs/>
          <w:lang w:bidi="en-US"/>
        </w:rPr>
        <w:t>, and will compare that value to the value assessed by the Department.</w:t>
      </w:r>
    </w:p>
    <w:p w14:paraId="636851F0" w14:textId="77777777" w:rsidR="00F3298B" w:rsidRPr="00F3298B" w:rsidRDefault="00F3298B" w:rsidP="00F3298B">
      <w:pPr>
        <w:widowControl w:val="0"/>
        <w:tabs>
          <w:tab w:val="left" w:pos="601"/>
        </w:tabs>
        <w:autoSpaceDE w:val="0"/>
        <w:autoSpaceDN w:val="0"/>
        <w:spacing w:before="1" w:line="240" w:lineRule="auto"/>
        <w:ind w:left="960" w:right="114"/>
        <w:jc w:val="both"/>
        <w:rPr>
          <w:rFonts w:ascii="Arial" w:eastAsia="Arial" w:hAnsi="Arial" w:cs="Arial"/>
          <w:bCs/>
          <w:lang w:bidi="en-US"/>
        </w:rPr>
      </w:pPr>
      <w:r w:rsidRPr="00F3298B">
        <w:rPr>
          <w:rFonts w:ascii="Arial" w:eastAsia="Arial" w:hAnsi="Arial" w:cs="Arial"/>
          <w:bCs/>
          <w:lang w:bidi="en-US"/>
        </w:rPr>
        <w:t xml:space="preserve">The final appraisal report must meet the requirements of the Uniform Standards of Appraisal Practice (USPAP) and the New York State Uniform Rules for Trial Courts (22 </w:t>
      </w:r>
      <w:proofErr w:type="spellStart"/>
      <w:r w:rsidRPr="00F3298B">
        <w:rPr>
          <w:rFonts w:ascii="Arial" w:eastAsia="Arial" w:hAnsi="Arial" w:cs="Arial"/>
          <w:bCs/>
          <w:lang w:bidi="en-US"/>
        </w:rPr>
        <w:t>NYCRR</w:t>
      </w:r>
      <w:proofErr w:type="spellEnd"/>
      <w:r w:rsidRPr="00F3298B">
        <w:rPr>
          <w:rFonts w:ascii="Arial" w:eastAsia="Arial" w:hAnsi="Arial" w:cs="Arial"/>
          <w:bCs/>
          <w:lang w:bidi="en-US"/>
        </w:rPr>
        <w:t xml:space="preserve"> 202.59). The appraiser must prepare a complete USPAP compliant appraisal using the Cost Approach (reproduction cost) to valuation. Additional approaches to value may be utilized as support for the Cost </w:t>
      </w:r>
      <w:proofErr w:type="gramStart"/>
      <w:r w:rsidRPr="00F3298B">
        <w:rPr>
          <w:rFonts w:ascii="Arial" w:eastAsia="Arial" w:hAnsi="Arial" w:cs="Arial"/>
          <w:bCs/>
          <w:lang w:bidi="en-US"/>
        </w:rPr>
        <w:t>Approach, if</w:t>
      </w:r>
      <w:proofErr w:type="gramEnd"/>
      <w:r w:rsidRPr="00F3298B">
        <w:rPr>
          <w:rFonts w:ascii="Arial" w:eastAsia="Arial" w:hAnsi="Arial" w:cs="Arial"/>
          <w:bCs/>
          <w:lang w:bidi="en-US"/>
        </w:rPr>
        <w:t xml:space="preserve"> data is available.</w:t>
      </w:r>
    </w:p>
    <w:p w14:paraId="341C5EB2" w14:textId="1B73663A" w:rsidR="00F3298B" w:rsidRPr="00F3298B" w:rsidRDefault="00F3298B" w:rsidP="00F3298B">
      <w:pPr>
        <w:widowControl w:val="0"/>
        <w:numPr>
          <w:ilvl w:val="0"/>
          <w:numId w:val="4"/>
        </w:numPr>
        <w:tabs>
          <w:tab w:val="left" w:pos="601"/>
        </w:tabs>
        <w:autoSpaceDE w:val="0"/>
        <w:autoSpaceDN w:val="0"/>
        <w:spacing w:before="1" w:line="240" w:lineRule="auto"/>
        <w:ind w:right="114"/>
        <w:jc w:val="both"/>
        <w:rPr>
          <w:rFonts w:ascii="Arial" w:eastAsia="Arial" w:hAnsi="Arial" w:cs="Arial"/>
          <w:bCs/>
          <w:lang w:bidi="en-US"/>
        </w:rPr>
      </w:pPr>
      <w:r w:rsidRPr="00F3298B">
        <w:rPr>
          <w:rFonts w:ascii="Arial" w:eastAsia="Arial" w:hAnsi="Arial" w:cs="Arial"/>
          <w:bCs/>
          <w:lang w:bidi="en-US"/>
        </w:rPr>
        <w:t>Review and analysis of the Litigant’s appraisal report. The relevant rules of courtroom procedure require both the Department and Litigant to simultaneously file their appraisal reports with both the court and the opposing party. The Department and OAG will need the appraiser’s expert opinion regarding review and analysis of the Litigant’s appraisal report to determine how to appropriately respond to that report during trial and in post-trial submissions.</w:t>
      </w:r>
    </w:p>
    <w:p w14:paraId="3F69ABD4" w14:textId="77777777" w:rsidR="00F3298B" w:rsidRPr="00F3298B" w:rsidRDefault="00F3298B" w:rsidP="00F3298B">
      <w:pPr>
        <w:widowControl w:val="0"/>
        <w:numPr>
          <w:ilvl w:val="0"/>
          <w:numId w:val="4"/>
        </w:numPr>
        <w:tabs>
          <w:tab w:val="left" w:pos="601"/>
        </w:tabs>
        <w:autoSpaceDE w:val="0"/>
        <w:autoSpaceDN w:val="0"/>
        <w:spacing w:before="1" w:line="240" w:lineRule="auto"/>
        <w:ind w:right="114"/>
        <w:jc w:val="both"/>
        <w:rPr>
          <w:rFonts w:ascii="Arial" w:eastAsia="Arial" w:hAnsi="Arial" w:cs="Arial"/>
          <w:bCs/>
          <w:lang w:bidi="en-US"/>
        </w:rPr>
      </w:pPr>
      <w:r w:rsidRPr="00F3298B">
        <w:rPr>
          <w:rFonts w:ascii="Arial" w:eastAsia="Arial" w:hAnsi="Arial" w:cs="Arial"/>
          <w:bCs/>
          <w:lang w:bidi="en-US"/>
        </w:rPr>
        <w:t xml:space="preserve">Expert testimony. If the case is not resolved prior to trial, the appraiser will need to </w:t>
      </w:r>
      <w:r w:rsidRPr="00F3298B">
        <w:rPr>
          <w:rFonts w:ascii="Arial" w:eastAsia="Arial" w:hAnsi="Arial" w:cs="Arial"/>
          <w:bCs/>
          <w:lang w:bidi="en-US"/>
        </w:rPr>
        <w:lastRenderedPageBreak/>
        <w:t>offer his or her expert testimony in support of the conclusions reached in the appraisal report at trial. The lead appraiser who prepares the appraisal report is expected to provide expert individual testimony in court.</w:t>
      </w:r>
    </w:p>
    <w:p w14:paraId="53F1C3B3" w14:textId="77777777" w:rsidR="00F3298B" w:rsidRPr="00F3298B" w:rsidRDefault="00F3298B" w:rsidP="00F3298B">
      <w:pPr>
        <w:widowControl w:val="0"/>
        <w:numPr>
          <w:ilvl w:val="0"/>
          <w:numId w:val="4"/>
        </w:numPr>
        <w:tabs>
          <w:tab w:val="left" w:pos="601"/>
        </w:tabs>
        <w:autoSpaceDE w:val="0"/>
        <w:autoSpaceDN w:val="0"/>
        <w:spacing w:before="1" w:line="240" w:lineRule="auto"/>
        <w:ind w:right="114"/>
        <w:jc w:val="both"/>
        <w:rPr>
          <w:rFonts w:ascii="Arial" w:eastAsia="Arial" w:hAnsi="Arial" w:cs="Arial"/>
          <w:bCs/>
          <w:lang w:bidi="en-US"/>
        </w:rPr>
      </w:pPr>
      <w:r w:rsidRPr="00F3298B">
        <w:rPr>
          <w:rFonts w:ascii="Arial" w:eastAsia="Arial" w:hAnsi="Arial" w:cs="Arial"/>
          <w:bCs/>
          <w:lang w:bidi="en-US"/>
        </w:rPr>
        <w:t>Post-trial assistance. If the case is not resolved prior to trial, the appraiser will be expected to assist the Department and OAG by providing their expert opinion and consultation to assist in drafting post-trial submissions.</w:t>
      </w:r>
    </w:p>
    <w:p w14:paraId="7CED8224" w14:textId="77777777" w:rsidR="00F3298B" w:rsidRPr="00F3298B" w:rsidRDefault="00F3298B" w:rsidP="002B1897">
      <w:pPr>
        <w:widowControl w:val="0"/>
        <w:tabs>
          <w:tab w:val="left" w:pos="601"/>
        </w:tabs>
        <w:autoSpaceDE w:val="0"/>
        <w:autoSpaceDN w:val="0"/>
        <w:spacing w:before="11" w:after="0" w:line="240" w:lineRule="auto"/>
        <w:ind w:right="117"/>
        <w:jc w:val="both"/>
        <w:rPr>
          <w:rFonts w:ascii="Arial" w:eastAsia="Arial" w:hAnsi="Arial" w:cs="Arial"/>
          <w:lang w:bidi="en-US"/>
        </w:rPr>
      </w:pPr>
      <w:r w:rsidRPr="00F3298B">
        <w:rPr>
          <w:rFonts w:ascii="Arial" w:eastAsia="Arial" w:hAnsi="Arial" w:cs="Arial"/>
          <w:b/>
          <w:lang w:bidi="en-US"/>
        </w:rPr>
        <w:t xml:space="preserve">Contractor Roles and Responsibilities: </w:t>
      </w:r>
    </w:p>
    <w:p w14:paraId="3EA6904C" w14:textId="77777777" w:rsidR="00F3298B" w:rsidRPr="00F3298B" w:rsidRDefault="00F3298B" w:rsidP="00F3298B">
      <w:pPr>
        <w:widowControl w:val="0"/>
        <w:tabs>
          <w:tab w:val="left" w:pos="601"/>
        </w:tabs>
        <w:autoSpaceDE w:val="0"/>
        <w:autoSpaceDN w:val="0"/>
        <w:spacing w:before="11" w:after="0" w:line="240" w:lineRule="auto"/>
        <w:ind w:left="600" w:right="117"/>
        <w:jc w:val="both"/>
        <w:rPr>
          <w:rFonts w:ascii="Arial" w:eastAsia="Arial" w:hAnsi="Arial" w:cs="Arial"/>
          <w:lang w:bidi="en-US"/>
        </w:rPr>
      </w:pPr>
    </w:p>
    <w:p w14:paraId="16FA78C5" w14:textId="77777777" w:rsidR="00F3298B" w:rsidRPr="00F3298B" w:rsidRDefault="00F3298B" w:rsidP="002B1897">
      <w:pPr>
        <w:widowControl w:val="0"/>
        <w:tabs>
          <w:tab w:val="left" w:pos="601"/>
        </w:tabs>
        <w:autoSpaceDE w:val="0"/>
        <w:autoSpaceDN w:val="0"/>
        <w:spacing w:before="11" w:after="0" w:line="240" w:lineRule="auto"/>
        <w:ind w:right="117"/>
        <w:jc w:val="both"/>
        <w:rPr>
          <w:rFonts w:ascii="Arial" w:eastAsia="Arial" w:hAnsi="Arial" w:cs="Arial"/>
          <w:bCs/>
          <w:lang w:bidi="en-US"/>
        </w:rPr>
      </w:pPr>
      <w:r w:rsidRPr="00F3298B">
        <w:rPr>
          <w:rFonts w:ascii="Arial" w:eastAsia="Arial" w:hAnsi="Arial" w:cs="Arial"/>
          <w:bCs/>
          <w:lang w:bidi="en-US"/>
        </w:rPr>
        <w:t>1. The Contractor agrees to prepare an appraisal report (trial ready) for the Litigant’s Special Franchise Property and will testify in court at trial, if necessary.</w:t>
      </w:r>
    </w:p>
    <w:p w14:paraId="21F7EA25" w14:textId="77777777" w:rsidR="00F3298B" w:rsidRPr="00F3298B" w:rsidRDefault="00F3298B" w:rsidP="00F3298B">
      <w:pPr>
        <w:widowControl w:val="0"/>
        <w:tabs>
          <w:tab w:val="left" w:pos="601"/>
        </w:tabs>
        <w:autoSpaceDE w:val="0"/>
        <w:autoSpaceDN w:val="0"/>
        <w:spacing w:before="11" w:after="0" w:line="240" w:lineRule="auto"/>
        <w:ind w:left="600" w:right="117"/>
        <w:jc w:val="both"/>
        <w:rPr>
          <w:rFonts w:ascii="Arial" w:eastAsia="Arial" w:hAnsi="Arial" w:cs="Arial"/>
          <w:bCs/>
          <w:lang w:bidi="en-US"/>
        </w:rPr>
      </w:pPr>
      <w:r w:rsidRPr="00F3298B">
        <w:rPr>
          <w:rFonts w:ascii="Arial" w:eastAsia="Arial" w:hAnsi="Arial" w:cs="Arial"/>
          <w:bCs/>
          <w:lang w:bidi="en-US"/>
        </w:rPr>
        <w:t> </w:t>
      </w:r>
    </w:p>
    <w:p w14:paraId="3EDE5958" w14:textId="77777777" w:rsidR="00F3298B" w:rsidRPr="00F3298B" w:rsidRDefault="00F3298B" w:rsidP="002B1897">
      <w:pPr>
        <w:widowControl w:val="0"/>
        <w:tabs>
          <w:tab w:val="left" w:pos="601"/>
        </w:tabs>
        <w:autoSpaceDE w:val="0"/>
        <w:autoSpaceDN w:val="0"/>
        <w:spacing w:before="11" w:after="0" w:line="240" w:lineRule="auto"/>
        <w:ind w:right="117"/>
        <w:jc w:val="both"/>
        <w:rPr>
          <w:rFonts w:ascii="Arial" w:eastAsia="Arial" w:hAnsi="Arial" w:cs="Arial"/>
          <w:bCs/>
          <w:lang w:bidi="en-US"/>
        </w:rPr>
      </w:pPr>
      <w:r w:rsidRPr="00F3298B">
        <w:rPr>
          <w:rFonts w:ascii="Arial" w:eastAsia="Arial" w:hAnsi="Arial" w:cs="Arial"/>
          <w:bCs/>
          <w:lang w:bidi="en-US"/>
        </w:rPr>
        <w:t>2. The Contractor agrees to prepare separate full market values, by municipality, for the Litigant’s Special Franchise Property.</w:t>
      </w:r>
    </w:p>
    <w:p w14:paraId="73165EE1" w14:textId="77777777" w:rsidR="00F3298B" w:rsidRPr="00F3298B" w:rsidRDefault="00F3298B" w:rsidP="00F3298B">
      <w:pPr>
        <w:widowControl w:val="0"/>
        <w:tabs>
          <w:tab w:val="left" w:pos="601"/>
        </w:tabs>
        <w:autoSpaceDE w:val="0"/>
        <w:autoSpaceDN w:val="0"/>
        <w:spacing w:before="11" w:after="0" w:line="240" w:lineRule="auto"/>
        <w:ind w:left="600" w:right="117"/>
        <w:jc w:val="both"/>
        <w:rPr>
          <w:rFonts w:ascii="Arial" w:eastAsia="Arial" w:hAnsi="Arial" w:cs="Arial"/>
          <w:bCs/>
          <w:lang w:bidi="en-US"/>
        </w:rPr>
      </w:pPr>
      <w:r w:rsidRPr="00F3298B">
        <w:rPr>
          <w:rFonts w:ascii="Arial" w:eastAsia="Arial" w:hAnsi="Arial" w:cs="Arial"/>
          <w:bCs/>
          <w:lang w:bidi="en-US"/>
        </w:rPr>
        <w:t> </w:t>
      </w:r>
    </w:p>
    <w:p w14:paraId="3C42DCBE" w14:textId="77777777" w:rsidR="00F3298B" w:rsidRPr="00F3298B" w:rsidRDefault="00F3298B" w:rsidP="002B1897">
      <w:pPr>
        <w:widowControl w:val="0"/>
        <w:tabs>
          <w:tab w:val="left" w:pos="601"/>
        </w:tabs>
        <w:autoSpaceDE w:val="0"/>
        <w:autoSpaceDN w:val="0"/>
        <w:spacing w:before="11" w:after="0" w:line="240" w:lineRule="auto"/>
        <w:ind w:right="117"/>
        <w:jc w:val="both"/>
        <w:rPr>
          <w:rFonts w:ascii="Arial" w:eastAsia="Arial" w:hAnsi="Arial" w:cs="Arial"/>
          <w:bCs/>
          <w:lang w:bidi="en-US"/>
        </w:rPr>
      </w:pPr>
      <w:r w:rsidRPr="00F3298B">
        <w:rPr>
          <w:rFonts w:ascii="Arial" w:eastAsia="Arial" w:hAnsi="Arial" w:cs="Arial"/>
          <w:bCs/>
          <w:lang w:bidi="en-US"/>
        </w:rPr>
        <w:t>3. The Contractor agrees that both tangible and intangible portions of the Special Franchise Property are to be valued.</w:t>
      </w:r>
    </w:p>
    <w:p w14:paraId="6C1B3A5D" w14:textId="77777777" w:rsidR="00F3298B" w:rsidRPr="00F3298B" w:rsidRDefault="00F3298B" w:rsidP="00F3298B">
      <w:pPr>
        <w:widowControl w:val="0"/>
        <w:tabs>
          <w:tab w:val="left" w:pos="601"/>
        </w:tabs>
        <w:autoSpaceDE w:val="0"/>
        <w:autoSpaceDN w:val="0"/>
        <w:spacing w:before="11" w:after="0" w:line="240" w:lineRule="auto"/>
        <w:ind w:left="600" w:right="117"/>
        <w:jc w:val="both"/>
        <w:rPr>
          <w:rFonts w:ascii="Arial" w:eastAsia="Arial" w:hAnsi="Arial" w:cs="Arial"/>
          <w:bCs/>
          <w:lang w:bidi="en-US"/>
        </w:rPr>
      </w:pPr>
    </w:p>
    <w:p w14:paraId="6B9AFDB7" w14:textId="77777777" w:rsidR="00F3298B" w:rsidRPr="00F3298B" w:rsidRDefault="00F3298B" w:rsidP="002B1897">
      <w:pPr>
        <w:widowControl w:val="0"/>
        <w:tabs>
          <w:tab w:val="left" w:pos="601"/>
        </w:tabs>
        <w:autoSpaceDE w:val="0"/>
        <w:autoSpaceDN w:val="0"/>
        <w:spacing w:before="11" w:after="0" w:line="240" w:lineRule="auto"/>
        <w:ind w:right="117"/>
        <w:jc w:val="both"/>
        <w:rPr>
          <w:rFonts w:ascii="Arial" w:eastAsia="Arial" w:hAnsi="Arial" w:cs="Arial"/>
          <w:bCs/>
          <w:lang w:bidi="en-US"/>
        </w:rPr>
      </w:pPr>
      <w:r w:rsidRPr="00F3298B">
        <w:rPr>
          <w:rFonts w:ascii="Arial" w:eastAsia="Arial" w:hAnsi="Arial" w:cs="Arial"/>
          <w:bCs/>
          <w:lang w:bidi="en-US"/>
        </w:rPr>
        <w:t>4. The Contractor agrees that in addition to the appraisal, they shall also be available to the Department, as necessary and as requested, for pre-trial preparation work and other litigation support, as well as the preparation of testimony and appearance in any court proceedings.</w:t>
      </w:r>
    </w:p>
    <w:p w14:paraId="3404401B" w14:textId="77777777" w:rsidR="00F3298B" w:rsidRPr="00F3298B" w:rsidRDefault="00F3298B" w:rsidP="00F3298B">
      <w:pPr>
        <w:widowControl w:val="0"/>
        <w:tabs>
          <w:tab w:val="left" w:pos="601"/>
        </w:tabs>
        <w:autoSpaceDE w:val="0"/>
        <w:autoSpaceDN w:val="0"/>
        <w:spacing w:before="11" w:after="0" w:line="240" w:lineRule="auto"/>
        <w:ind w:left="600" w:right="117"/>
        <w:jc w:val="both"/>
        <w:rPr>
          <w:rFonts w:ascii="Arial" w:eastAsia="Arial" w:hAnsi="Arial" w:cs="Arial"/>
          <w:bCs/>
          <w:lang w:bidi="en-US"/>
        </w:rPr>
      </w:pPr>
      <w:r w:rsidRPr="00F3298B">
        <w:rPr>
          <w:rFonts w:ascii="Arial" w:eastAsia="Arial" w:hAnsi="Arial" w:cs="Arial"/>
          <w:bCs/>
          <w:lang w:bidi="en-US"/>
        </w:rPr>
        <w:t> </w:t>
      </w:r>
    </w:p>
    <w:p w14:paraId="221C1192" w14:textId="77777777" w:rsidR="00F3298B" w:rsidRPr="00F3298B" w:rsidRDefault="00F3298B" w:rsidP="002B1897">
      <w:pPr>
        <w:widowControl w:val="0"/>
        <w:tabs>
          <w:tab w:val="left" w:pos="601"/>
        </w:tabs>
        <w:autoSpaceDE w:val="0"/>
        <w:autoSpaceDN w:val="0"/>
        <w:spacing w:before="11" w:after="0" w:line="240" w:lineRule="auto"/>
        <w:ind w:right="117"/>
        <w:jc w:val="both"/>
        <w:rPr>
          <w:rFonts w:ascii="Arial" w:eastAsia="Arial" w:hAnsi="Arial" w:cs="Arial"/>
          <w:bCs/>
          <w:lang w:bidi="en-US"/>
        </w:rPr>
      </w:pPr>
      <w:r w:rsidRPr="00F3298B">
        <w:rPr>
          <w:rFonts w:ascii="Arial" w:eastAsia="Arial" w:hAnsi="Arial" w:cs="Arial"/>
          <w:bCs/>
          <w:lang w:bidi="en-US"/>
        </w:rPr>
        <w:t xml:space="preserve">5. The Contractor agrees that the final appraisal must meet the requirements of the Uniform Standards of Appraisal Practice and the New York State Uniform Rules for Trial Courts (22 </w:t>
      </w:r>
      <w:proofErr w:type="spellStart"/>
      <w:r w:rsidRPr="00F3298B">
        <w:rPr>
          <w:rFonts w:ascii="Arial" w:eastAsia="Arial" w:hAnsi="Arial" w:cs="Arial"/>
          <w:bCs/>
          <w:lang w:bidi="en-US"/>
        </w:rPr>
        <w:t>NYCRR</w:t>
      </w:r>
      <w:proofErr w:type="spellEnd"/>
      <w:r w:rsidRPr="00F3298B">
        <w:rPr>
          <w:rFonts w:ascii="Arial" w:eastAsia="Arial" w:hAnsi="Arial" w:cs="Arial"/>
          <w:bCs/>
          <w:lang w:bidi="en-US"/>
        </w:rPr>
        <w:t xml:space="preserve"> 202.59).</w:t>
      </w:r>
    </w:p>
    <w:p w14:paraId="29DAC5A3" w14:textId="77777777" w:rsidR="00F3298B" w:rsidRPr="00F3298B" w:rsidRDefault="00F3298B" w:rsidP="00F3298B">
      <w:pPr>
        <w:widowControl w:val="0"/>
        <w:tabs>
          <w:tab w:val="left" w:pos="601"/>
        </w:tabs>
        <w:autoSpaceDE w:val="0"/>
        <w:autoSpaceDN w:val="0"/>
        <w:spacing w:before="11" w:after="0" w:line="240" w:lineRule="auto"/>
        <w:ind w:left="600" w:right="117"/>
        <w:jc w:val="both"/>
        <w:rPr>
          <w:rFonts w:ascii="Arial" w:eastAsia="Arial" w:hAnsi="Arial" w:cs="Arial"/>
          <w:bCs/>
          <w:lang w:bidi="en-US"/>
        </w:rPr>
      </w:pPr>
      <w:r w:rsidRPr="00F3298B">
        <w:rPr>
          <w:rFonts w:ascii="Arial" w:eastAsia="Arial" w:hAnsi="Arial" w:cs="Arial"/>
          <w:bCs/>
          <w:lang w:bidi="en-US"/>
        </w:rPr>
        <w:t> </w:t>
      </w:r>
    </w:p>
    <w:p w14:paraId="48DCCF83" w14:textId="77777777" w:rsidR="00F3298B" w:rsidRPr="00F3298B" w:rsidRDefault="00F3298B" w:rsidP="002B1897">
      <w:pPr>
        <w:widowControl w:val="0"/>
        <w:tabs>
          <w:tab w:val="left" w:pos="601"/>
        </w:tabs>
        <w:autoSpaceDE w:val="0"/>
        <w:autoSpaceDN w:val="0"/>
        <w:spacing w:before="11" w:after="0" w:line="240" w:lineRule="auto"/>
        <w:ind w:right="117"/>
        <w:jc w:val="both"/>
        <w:rPr>
          <w:rFonts w:ascii="Arial" w:eastAsia="Arial" w:hAnsi="Arial" w:cs="Arial"/>
          <w:bCs/>
          <w:lang w:bidi="en-US"/>
        </w:rPr>
      </w:pPr>
      <w:r w:rsidRPr="00F3298B">
        <w:rPr>
          <w:rFonts w:ascii="Arial" w:eastAsia="Arial" w:hAnsi="Arial" w:cs="Arial"/>
          <w:bCs/>
          <w:lang w:bidi="en-US"/>
        </w:rPr>
        <w:t>6. The Contractor agrees that all data and analysis must be fully documented and included in the appraisal report or appendices.</w:t>
      </w:r>
    </w:p>
    <w:p w14:paraId="5A11B180" w14:textId="77777777" w:rsidR="00F3298B" w:rsidRPr="00F3298B" w:rsidRDefault="00F3298B" w:rsidP="00F3298B">
      <w:pPr>
        <w:widowControl w:val="0"/>
        <w:tabs>
          <w:tab w:val="left" w:pos="601"/>
        </w:tabs>
        <w:autoSpaceDE w:val="0"/>
        <w:autoSpaceDN w:val="0"/>
        <w:spacing w:before="11" w:after="0" w:line="240" w:lineRule="auto"/>
        <w:ind w:left="600" w:right="117"/>
        <w:jc w:val="both"/>
        <w:rPr>
          <w:rFonts w:ascii="Arial" w:eastAsia="Arial" w:hAnsi="Arial" w:cs="Arial"/>
          <w:bCs/>
          <w:lang w:bidi="en-US"/>
        </w:rPr>
      </w:pPr>
      <w:r w:rsidRPr="00F3298B">
        <w:rPr>
          <w:rFonts w:ascii="Arial" w:eastAsia="Arial" w:hAnsi="Arial" w:cs="Arial"/>
          <w:bCs/>
          <w:lang w:bidi="en-US"/>
        </w:rPr>
        <w:t> </w:t>
      </w:r>
    </w:p>
    <w:p w14:paraId="73D35E54" w14:textId="77777777" w:rsidR="00F3298B" w:rsidRPr="00F3298B" w:rsidRDefault="00F3298B" w:rsidP="002B1897">
      <w:pPr>
        <w:widowControl w:val="0"/>
        <w:tabs>
          <w:tab w:val="left" w:pos="601"/>
        </w:tabs>
        <w:autoSpaceDE w:val="0"/>
        <w:autoSpaceDN w:val="0"/>
        <w:spacing w:before="11" w:after="0" w:line="240" w:lineRule="auto"/>
        <w:ind w:right="117"/>
        <w:jc w:val="both"/>
        <w:rPr>
          <w:rFonts w:ascii="Arial" w:eastAsia="Arial" w:hAnsi="Arial" w:cs="Arial"/>
          <w:bCs/>
          <w:lang w:bidi="en-US"/>
        </w:rPr>
      </w:pPr>
      <w:r w:rsidRPr="00F3298B">
        <w:rPr>
          <w:rFonts w:ascii="Arial" w:eastAsia="Arial" w:hAnsi="Arial" w:cs="Arial"/>
          <w:bCs/>
          <w:lang w:bidi="en-US"/>
        </w:rPr>
        <w:t>7. The Contractor agrees that formulas for calculations and any computer software must be identified.</w:t>
      </w:r>
    </w:p>
    <w:p w14:paraId="0ED6ACC3" w14:textId="77777777" w:rsidR="00F3298B" w:rsidRPr="00F3298B" w:rsidRDefault="00F3298B" w:rsidP="00F3298B">
      <w:pPr>
        <w:widowControl w:val="0"/>
        <w:tabs>
          <w:tab w:val="left" w:pos="601"/>
        </w:tabs>
        <w:autoSpaceDE w:val="0"/>
        <w:autoSpaceDN w:val="0"/>
        <w:spacing w:before="11" w:after="0" w:line="240" w:lineRule="auto"/>
        <w:ind w:left="600" w:right="117"/>
        <w:jc w:val="both"/>
        <w:rPr>
          <w:rFonts w:ascii="Arial" w:eastAsia="Arial" w:hAnsi="Arial" w:cs="Arial"/>
          <w:bCs/>
          <w:lang w:bidi="en-US"/>
        </w:rPr>
      </w:pPr>
      <w:r w:rsidRPr="00F3298B">
        <w:rPr>
          <w:rFonts w:ascii="Arial" w:eastAsia="Arial" w:hAnsi="Arial" w:cs="Arial"/>
          <w:bCs/>
          <w:lang w:bidi="en-US"/>
        </w:rPr>
        <w:t> </w:t>
      </w:r>
    </w:p>
    <w:p w14:paraId="5CAE6C36" w14:textId="77777777" w:rsidR="00F3298B" w:rsidRPr="00F3298B" w:rsidRDefault="00F3298B" w:rsidP="002B1897">
      <w:pPr>
        <w:widowControl w:val="0"/>
        <w:tabs>
          <w:tab w:val="left" w:pos="601"/>
        </w:tabs>
        <w:autoSpaceDE w:val="0"/>
        <w:autoSpaceDN w:val="0"/>
        <w:spacing w:before="11" w:after="0" w:line="240" w:lineRule="auto"/>
        <w:ind w:right="117"/>
        <w:jc w:val="both"/>
        <w:rPr>
          <w:rFonts w:ascii="Arial" w:eastAsia="Arial" w:hAnsi="Arial" w:cs="Arial"/>
          <w:bCs/>
          <w:lang w:bidi="en-US"/>
        </w:rPr>
      </w:pPr>
      <w:r w:rsidRPr="00F3298B">
        <w:rPr>
          <w:rFonts w:ascii="Arial" w:eastAsia="Arial" w:hAnsi="Arial" w:cs="Arial"/>
          <w:bCs/>
          <w:lang w:bidi="en-US"/>
        </w:rPr>
        <w:t>8. The Contractor will comply with the Department’s Secrecy requirements.</w:t>
      </w:r>
    </w:p>
    <w:p w14:paraId="2A7A3660" w14:textId="77777777" w:rsidR="00F3298B" w:rsidRPr="00F3298B" w:rsidRDefault="00F3298B" w:rsidP="00F3298B">
      <w:pPr>
        <w:widowControl w:val="0"/>
        <w:tabs>
          <w:tab w:val="left" w:pos="601"/>
        </w:tabs>
        <w:autoSpaceDE w:val="0"/>
        <w:autoSpaceDN w:val="0"/>
        <w:spacing w:before="11" w:after="0" w:line="240" w:lineRule="auto"/>
        <w:ind w:left="600" w:right="117"/>
        <w:jc w:val="both"/>
        <w:rPr>
          <w:rFonts w:ascii="Arial" w:eastAsia="Arial" w:hAnsi="Arial" w:cs="Arial"/>
          <w:bCs/>
          <w:lang w:bidi="en-US"/>
        </w:rPr>
      </w:pPr>
      <w:r w:rsidRPr="00F3298B">
        <w:rPr>
          <w:rFonts w:ascii="Arial" w:eastAsia="Arial" w:hAnsi="Arial" w:cs="Arial"/>
          <w:bCs/>
          <w:lang w:bidi="en-US"/>
        </w:rPr>
        <w:t> </w:t>
      </w:r>
    </w:p>
    <w:p w14:paraId="2D84C3CA" w14:textId="77777777" w:rsidR="00F3298B" w:rsidRPr="00F3298B" w:rsidRDefault="00F3298B" w:rsidP="002B1897">
      <w:pPr>
        <w:widowControl w:val="0"/>
        <w:tabs>
          <w:tab w:val="left" w:pos="601"/>
        </w:tabs>
        <w:autoSpaceDE w:val="0"/>
        <w:autoSpaceDN w:val="0"/>
        <w:spacing w:before="11" w:after="0" w:line="240" w:lineRule="auto"/>
        <w:ind w:right="117"/>
        <w:jc w:val="both"/>
        <w:rPr>
          <w:rFonts w:ascii="Arial" w:eastAsia="Arial" w:hAnsi="Arial" w:cs="Arial"/>
          <w:bCs/>
          <w:lang w:bidi="en-US"/>
        </w:rPr>
      </w:pPr>
      <w:r w:rsidRPr="00F3298B">
        <w:rPr>
          <w:rFonts w:ascii="Arial" w:eastAsia="Arial" w:hAnsi="Arial" w:cs="Arial"/>
          <w:bCs/>
          <w:lang w:bidi="en-US"/>
        </w:rPr>
        <w:t>9. The Contractor must not disclose any data or other information/materials provided by the Department to any other individual or entity except as expressly provided by law.</w:t>
      </w:r>
    </w:p>
    <w:p w14:paraId="5957D7BA" w14:textId="77777777" w:rsidR="00F3298B" w:rsidRPr="00F3298B" w:rsidRDefault="00F3298B" w:rsidP="00F3298B">
      <w:pPr>
        <w:widowControl w:val="0"/>
        <w:tabs>
          <w:tab w:val="left" w:pos="601"/>
        </w:tabs>
        <w:autoSpaceDE w:val="0"/>
        <w:autoSpaceDN w:val="0"/>
        <w:spacing w:before="11" w:after="0" w:line="240" w:lineRule="auto"/>
        <w:ind w:left="600" w:right="117"/>
        <w:jc w:val="both"/>
        <w:rPr>
          <w:rFonts w:ascii="Arial" w:eastAsia="Arial" w:hAnsi="Arial" w:cs="Arial"/>
          <w:bCs/>
          <w:lang w:bidi="en-US"/>
        </w:rPr>
      </w:pPr>
    </w:p>
    <w:p w14:paraId="19FBCF04" w14:textId="77777777" w:rsidR="00F3298B" w:rsidRPr="00F3298B" w:rsidRDefault="00F3298B" w:rsidP="002B1897">
      <w:pPr>
        <w:widowControl w:val="0"/>
        <w:tabs>
          <w:tab w:val="left" w:pos="601"/>
        </w:tabs>
        <w:autoSpaceDE w:val="0"/>
        <w:autoSpaceDN w:val="0"/>
        <w:spacing w:before="11" w:after="0" w:line="240" w:lineRule="auto"/>
        <w:ind w:right="117"/>
        <w:jc w:val="both"/>
        <w:rPr>
          <w:rFonts w:ascii="Arial" w:eastAsia="Arial" w:hAnsi="Arial" w:cs="Arial"/>
          <w:bCs/>
          <w:lang w:bidi="en-US"/>
        </w:rPr>
      </w:pPr>
      <w:r w:rsidRPr="00F3298B">
        <w:rPr>
          <w:rFonts w:ascii="Arial" w:eastAsia="Arial" w:hAnsi="Arial" w:cs="Arial"/>
          <w:bCs/>
          <w:lang w:bidi="en-US"/>
        </w:rPr>
        <w:t>10. The Contractor shall pay, at its sole expense, all applicable permits, licenses, tariffs, tolls and fees and give all notices and comply with all federal, state and local laws, ordinances, rules and regulations of any governmental entity in conjunction with the performance of obligations under the contract.</w:t>
      </w:r>
    </w:p>
    <w:p w14:paraId="6C419B20" w14:textId="77777777" w:rsidR="00F3298B" w:rsidRPr="00F3298B" w:rsidRDefault="00F3298B" w:rsidP="00F3298B">
      <w:pPr>
        <w:widowControl w:val="0"/>
        <w:tabs>
          <w:tab w:val="left" w:pos="601"/>
        </w:tabs>
        <w:autoSpaceDE w:val="0"/>
        <w:autoSpaceDN w:val="0"/>
        <w:spacing w:before="11" w:after="0" w:line="240" w:lineRule="auto"/>
        <w:ind w:left="600" w:right="117"/>
        <w:jc w:val="both"/>
        <w:rPr>
          <w:rFonts w:ascii="Arial" w:eastAsia="Arial" w:hAnsi="Arial" w:cs="Arial"/>
          <w:bCs/>
          <w:lang w:bidi="en-US"/>
        </w:rPr>
      </w:pPr>
      <w:r w:rsidRPr="00F3298B">
        <w:rPr>
          <w:rFonts w:ascii="Arial" w:eastAsia="Arial" w:hAnsi="Arial" w:cs="Arial"/>
          <w:bCs/>
          <w:lang w:bidi="en-US"/>
        </w:rPr>
        <w:t> </w:t>
      </w:r>
    </w:p>
    <w:p w14:paraId="2BE91030" w14:textId="722D09A5" w:rsidR="00F3298B" w:rsidRPr="00F3298B" w:rsidRDefault="00F3298B" w:rsidP="002B1897">
      <w:pPr>
        <w:widowControl w:val="0"/>
        <w:tabs>
          <w:tab w:val="left" w:pos="601"/>
        </w:tabs>
        <w:autoSpaceDE w:val="0"/>
        <w:autoSpaceDN w:val="0"/>
        <w:spacing w:before="11" w:after="0" w:line="240" w:lineRule="auto"/>
        <w:ind w:right="117"/>
        <w:jc w:val="both"/>
        <w:rPr>
          <w:rFonts w:ascii="Arial" w:eastAsia="Arial" w:hAnsi="Arial" w:cs="Arial"/>
          <w:bCs/>
          <w:lang w:bidi="en-US"/>
        </w:rPr>
      </w:pPr>
      <w:r w:rsidRPr="00F3298B">
        <w:rPr>
          <w:rFonts w:ascii="Arial" w:eastAsia="Arial" w:hAnsi="Arial" w:cs="Arial"/>
          <w:bCs/>
          <w:lang w:bidi="en-US"/>
        </w:rPr>
        <w:t>11. Performance of any additional services shall be completed upon review and approval of the</w:t>
      </w:r>
      <w:r w:rsidR="002B1897">
        <w:rPr>
          <w:rFonts w:ascii="Arial" w:eastAsia="Arial" w:hAnsi="Arial" w:cs="Arial"/>
          <w:bCs/>
          <w:lang w:bidi="en-US"/>
        </w:rPr>
        <w:t xml:space="preserve"> </w:t>
      </w:r>
      <w:r w:rsidRPr="00F3298B">
        <w:rPr>
          <w:rFonts w:ascii="Arial" w:eastAsia="Arial" w:hAnsi="Arial" w:cs="Arial"/>
          <w:bCs/>
          <w:lang w:bidi="en-US"/>
        </w:rPr>
        <w:t>Department.</w:t>
      </w:r>
    </w:p>
    <w:p w14:paraId="271EDB21" w14:textId="77777777" w:rsidR="00F3298B" w:rsidRPr="00F3298B" w:rsidRDefault="00F3298B" w:rsidP="00F3298B">
      <w:pPr>
        <w:widowControl w:val="0"/>
        <w:tabs>
          <w:tab w:val="left" w:pos="601"/>
        </w:tabs>
        <w:autoSpaceDE w:val="0"/>
        <w:autoSpaceDN w:val="0"/>
        <w:spacing w:before="11" w:after="0" w:line="240" w:lineRule="auto"/>
        <w:ind w:left="600" w:right="117"/>
        <w:jc w:val="both"/>
        <w:rPr>
          <w:rFonts w:ascii="Arial" w:eastAsia="Arial" w:hAnsi="Arial" w:cs="Arial"/>
          <w:bCs/>
          <w:i/>
          <w:iCs/>
          <w:lang w:bidi="en-US"/>
        </w:rPr>
      </w:pPr>
    </w:p>
    <w:p w14:paraId="65C944B9" w14:textId="151A2091" w:rsidR="00F3298B" w:rsidRPr="00F3298B" w:rsidRDefault="00F3298B" w:rsidP="00FA1FEA">
      <w:pPr>
        <w:widowControl w:val="0"/>
        <w:tabs>
          <w:tab w:val="left" w:pos="601"/>
        </w:tabs>
        <w:autoSpaceDE w:val="0"/>
        <w:autoSpaceDN w:val="0"/>
        <w:spacing w:before="11" w:line="240" w:lineRule="auto"/>
        <w:ind w:right="117"/>
        <w:jc w:val="both"/>
        <w:rPr>
          <w:rFonts w:ascii="Arial" w:eastAsia="Arial" w:hAnsi="Arial" w:cs="Arial"/>
          <w:lang w:bidi="en-US"/>
        </w:rPr>
      </w:pPr>
      <w:r w:rsidRPr="00F3298B">
        <w:rPr>
          <w:rFonts w:ascii="Arial" w:eastAsia="Arial" w:hAnsi="Arial" w:cs="Arial"/>
          <w:b/>
          <w:lang w:bidi="en-US"/>
        </w:rPr>
        <w:t>Special Franchise Property by Company and Location</w:t>
      </w:r>
      <w:r w:rsidR="00FA1FEA">
        <w:rPr>
          <w:rFonts w:ascii="Arial" w:eastAsia="Arial" w:hAnsi="Arial" w:cs="Arial"/>
          <w:b/>
          <w:lang w:bidi="en-US"/>
        </w:rPr>
        <w:t>:</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439"/>
        <w:gridCol w:w="4329"/>
      </w:tblGrid>
      <w:tr w:rsidR="00F3298B" w:rsidRPr="00F3298B" w14:paraId="3E035B95" w14:textId="77777777" w:rsidTr="008A4F0E">
        <w:trPr>
          <w:trHeight w:val="300"/>
        </w:trPr>
        <w:tc>
          <w:tcPr>
            <w:tcW w:w="8820" w:type="dxa"/>
            <w:gridSpan w:val="3"/>
            <w:shd w:val="clear" w:color="auto" w:fill="auto"/>
            <w:vAlign w:val="bottom"/>
            <w:hideMark/>
          </w:tcPr>
          <w:p w14:paraId="755E4ED6" w14:textId="77777777" w:rsidR="00F3298B" w:rsidRPr="00F3298B" w:rsidRDefault="00F3298B" w:rsidP="00F3298B">
            <w:pPr>
              <w:spacing w:after="0" w:line="240" w:lineRule="auto"/>
              <w:jc w:val="center"/>
              <w:rPr>
                <w:rFonts w:ascii="Arial" w:eastAsia="Times New Roman" w:hAnsi="Arial" w:cs="Arial"/>
                <w:b/>
                <w:bCs/>
                <w:color w:val="000000"/>
              </w:rPr>
            </w:pPr>
            <w:r w:rsidRPr="00F3298B">
              <w:rPr>
                <w:rFonts w:ascii="Arial" w:eastAsia="Times New Roman" w:hAnsi="Arial" w:cs="Arial"/>
                <w:b/>
                <w:bCs/>
                <w:color w:val="000000"/>
              </w:rPr>
              <w:t>Liberty Utilities Corporation (Parent Company)</w:t>
            </w:r>
          </w:p>
        </w:tc>
      </w:tr>
      <w:tr w:rsidR="00F3298B" w:rsidRPr="00F3298B" w14:paraId="081C59CB" w14:textId="77777777" w:rsidTr="008A4F0E">
        <w:trPr>
          <w:trHeight w:val="300"/>
        </w:trPr>
        <w:tc>
          <w:tcPr>
            <w:tcW w:w="3096" w:type="dxa"/>
            <w:shd w:val="clear" w:color="auto" w:fill="auto"/>
            <w:noWrap/>
            <w:vAlign w:val="bottom"/>
            <w:hideMark/>
          </w:tcPr>
          <w:p w14:paraId="21DD3614" w14:textId="77777777" w:rsidR="00F3298B" w:rsidRPr="00F3298B" w:rsidRDefault="00F3298B" w:rsidP="00F3298B">
            <w:pPr>
              <w:spacing w:after="0" w:line="240" w:lineRule="auto"/>
              <w:jc w:val="center"/>
              <w:rPr>
                <w:rFonts w:ascii="Arial" w:eastAsia="Times New Roman" w:hAnsi="Arial" w:cs="Arial"/>
                <w:b/>
                <w:bCs/>
                <w:color w:val="000000"/>
              </w:rPr>
            </w:pPr>
            <w:r w:rsidRPr="00F3298B">
              <w:rPr>
                <w:rFonts w:ascii="Arial" w:eastAsia="Times New Roman" w:hAnsi="Arial" w:cs="Arial"/>
                <w:b/>
                <w:bCs/>
                <w:color w:val="000000"/>
              </w:rPr>
              <w:t>Company Name</w:t>
            </w:r>
          </w:p>
        </w:tc>
        <w:tc>
          <w:tcPr>
            <w:tcW w:w="1395" w:type="dxa"/>
            <w:shd w:val="clear" w:color="auto" w:fill="auto"/>
            <w:noWrap/>
            <w:vAlign w:val="bottom"/>
            <w:hideMark/>
          </w:tcPr>
          <w:p w14:paraId="3E7053AA" w14:textId="77777777" w:rsidR="00F3298B" w:rsidRPr="00F3298B" w:rsidRDefault="00F3298B" w:rsidP="00F3298B">
            <w:pPr>
              <w:spacing w:after="0" w:line="240" w:lineRule="auto"/>
              <w:jc w:val="center"/>
              <w:rPr>
                <w:rFonts w:ascii="Arial" w:eastAsia="Times New Roman" w:hAnsi="Arial" w:cs="Arial"/>
                <w:b/>
                <w:bCs/>
                <w:color w:val="000000"/>
              </w:rPr>
            </w:pPr>
            <w:r w:rsidRPr="00F3298B">
              <w:rPr>
                <w:rFonts w:ascii="Arial" w:eastAsia="Times New Roman" w:hAnsi="Arial" w:cs="Arial"/>
                <w:b/>
                <w:bCs/>
                <w:color w:val="000000"/>
              </w:rPr>
              <w:t>County</w:t>
            </w:r>
          </w:p>
        </w:tc>
        <w:tc>
          <w:tcPr>
            <w:tcW w:w="4329" w:type="dxa"/>
            <w:shd w:val="clear" w:color="auto" w:fill="auto"/>
            <w:noWrap/>
            <w:vAlign w:val="bottom"/>
            <w:hideMark/>
          </w:tcPr>
          <w:p w14:paraId="764675A6" w14:textId="77777777" w:rsidR="00F3298B" w:rsidRPr="00F3298B" w:rsidRDefault="00F3298B" w:rsidP="00F3298B">
            <w:pPr>
              <w:spacing w:after="0" w:line="240" w:lineRule="auto"/>
              <w:jc w:val="center"/>
              <w:rPr>
                <w:rFonts w:ascii="Arial" w:eastAsia="Times New Roman" w:hAnsi="Arial" w:cs="Arial"/>
                <w:b/>
                <w:bCs/>
                <w:color w:val="000000"/>
              </w:rPr>
            </w:pPr>
            <w:r w:rsidRPr="00F3298B">
              <w:rPr>
                <w:rFonts w:ascii="Arial" w:eastAsia="Times New Roman" w:hAnsi="Arial" w:cs="Arial"/>
                <w:b/>
                <w:bCs/>
                <w:color w:val="000000"/>
              </w:rPr>
              <w:t>Municipality</w:t>
            </w:r>
          </w:p>
        </w:tc>
      </w:tr>
      <w:tr w:rsidR="00F3298B" w:rsidRPr="00F3298B" w14:paraId="214490D4" w14:textId="77777777" w:rsidTr="008A4F0E">
        <w:trPr>
          <w:trHeight w:val="300"/>
        </w:trPr>
        <w:tc>
          <w:tcPr>
            <w:tcW w:w="3096" w:type="dxa"/>
            <w:shd w:val="clear" w:color="auto" w:fill="auto"/>
            <w:noWrap/>
            <w:vAlign w:val="bottom"/>
            <w:hideMark/>
          </w:tcPr>
          <w:p w14:paraId="42AD773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Wild Oaks Water Company</w:t>
            </w:r>
          </w:p>
        </w:tc>
        <w:tc>
          <w:tcPr>
            <w:tcW w:w="1395" w:type="dxa"/>
            <w:shd w:val="clear" w:color="auto" w:fill="auto"/>
            <w:noWrap/>
            <w:vAlign w:val="bottom"/>
            <w:hideMark/>
          </w:tcPr>
          <w:p w14:paraId="13C37B35"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Westchester</w:t>
            </w:r>
          </w:p>
        </w:tc>
        <w:tc>
          <w:tcPr>
            <w:tcW w:w="4329" w:type="dxa"/>
            <w:shd w:val="clear" w:color="auto" w:fill="auto"/>
            <w:noWrap/>
            <w:vAlign w:val="bottom"/>
            <w:hideMark/>
          </w:tcPr>
          <w:p w14:paraId="4D5A6E41"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Lewisboro</w:t>
            </w:r>
          </w:p>
        </w:tc>
      </w:tr>
      <w:tr w:rsidR="00F3298B" w:rsidRPr="00F3298B" w14:paraId="50FB5201" w14:textId="77777777" w:rsidTr="008A4F0E">
        <w:trPr>
          <w:trHeight w:val="300"/>
        </w:trPr>
        <w:tc>
          <w:tcPr>
            <w:tcW w:w="3096" w:type="dxa"/>
            <w:shd w:val="clear" w:color="auto" w:fill="auto"/>
            <w:noWrap/>
            <w:vAlign w:val="bottom"/>
            <w:hideMark/>
          </w:tcPr>
          <w:p w14:paraId="5E74C6FE" w14:textId="77777777" w:rsidR="00F3298B" w:rsidRPr="00F3298B" w:rsidRDefault="00F3298B" w:rsidP="00F3298B">
            <w:pPr>
              <w:spacing w:after="0" w:line="240" w:lineRule="auto"/>
              <w:jc w:val="center"/>
              <w:rPr>
                <w:rFonts w:ascii="Arial" w:eastAsia="Times New Roman" w:hAnsi="Arial" w:cs="Arial"/>
                <w:color w:val="000000"/>
              </w:rPr>
            </w:pPr>
            <w:proofErr w:type="spellStart"/>
            <w:r w:rsidRPr="00F3298B">
              <w:rPr>
                <w:rFonts w:ascii="Arial" w:eastAsia="Times New Roman" w:hAnsi="Arial" w:cs="Arial"/>
                <w:color w:val="000000"/>
              </w:rPr>
              <w:t>Waccabuc</w:t>
            </w:r>
            <w:proofErr w:type="spellEnd"/>
            <w:r w:rsidRPr="00F3298B">
              <w:rPr>
                <w:rFonts w:ascii="Arial" w:eastAsia="Times New Roman" w:hAnsi="Arial" w:cs="Arial"/>
                <w:color w:val="000000"/>
              </w:rPr>
              <w:t xml:space="preserve"> Water Company</w:t>
            </w:r>
          </w:p>
        </w:tc>
        <w:tc>
          <w:tcPr>
            <w:tcW w:w="1395" w:type="dxa"/>
            <w:shd w:val="clear" w:color="auto" w:fill="auto"/>
            <w:noWrap/>
            <w:vAlign w:val="bottom"/>
            <w:hideMark/>
          </w:tcPr>
          <w:p w14:paraId="4102DE0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Westchester</w:t>
            </w:r>
          </w:p>
        </w:tc>
        <w:tc>
          <w:tcPr>
            <w:tcW w:w="4329" w:type="dxa"/>
            <w:shd w:val="clear" w:color="auto" w:fill="auto"/>
            <w:noWrap/>
            <w:vAlign w:val="bottom"/>
            <w:hideMark/>
          </w:tcPr>
          <w:p w14:paraId="260CB7FE"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Lewisboro</w:t>
            </w:r>
          </w:p>
        </w:tc>
      </w:tr>
      <w:tr w:rsidR="00F3298B" w:rsidRPr="00F3298B" w14:paraId="3329FF48" w14:textId="77777777" w:rsidTr="008A4F0E">
        <w:trPr>
          <w:trHeight w:val="300"/>
        </w:trPr>
        <w:tc>
          <w:tcPr>
            <w:tcW w:w="3096" w:type="dxa"/>
            <w:shd w:val="clear" w:color="auto" w:fill="auto"/>
            <w:noWrap/>
            <w:vAlign w:val="bottom"/>
            <w:hideMark/>
          </w:tcPr>
          <w:p w14:paraId="5485DC2F"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Sea Cliff Water Company</w:t>
            </w:r>
          </w:p>
        </w:tc>
        <w:tc>
          <w:tcPr>
            <w:tcW w:w="1395" w:type="dxa"/>
            <w:shd w:val="clear" w:color="auto" w:fill="auto"/>
            <w:noWrap/>
            <w:vAlign w:val="bottom"/>
            <w:hideMark/>
          </w:tcPr>
          <w:p w14:paraId="2E5CDF87"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3BF7F976"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C/ Glen Cove</w:t>
            </w:r>
          </w:p>
        </w:tc>
      </w:tr>
      <w:tr w:rsidR="00F3298B" w:rsidRPr="00F3298B" w14:paraId="5F07ACF5" w14:textId="77777777" w:rsidTr="008A4F0E">
        <w:trPr>
          <w:trHeight w:val="300"/>
        </w:trPr>
        <w:tc>
          <w:tcPr>
            <w:tcW w:w="3096" w:type="dxa"/>
            <w:shd w:val="clear" w:color="auto" w:fill="auto"/>
            <w:noWrap/>
            <w:vAlign w:val="bottom"/>
            <w:hideMark/>
          </w:tcPr>
          <w:p w14:paraId="6D3337B5"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lastRenderedPageBreak/>
              <w:t>Cambridge Water Company</w:t>
            </w:r>
          </w:p>
        </w:tc>
        <w:tc>
          <w:tcPr>
            <w:tcW w:w="1395" w:type="dxa"/>
            <w:shd w:val="clear" w:color="auto" w:fill="auto"/>
            <w:noWrap/>
            <w:vAlign w:val="bottom"/>
            <w:hideMark/>
          </w:tcPr>
          <w:p w14:paraId="60ED10B0"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Washington</w:t>
            </w:r>
          </w:p>
        </w:tc>
        <w:tc>
          <w:tcPr>
            <w:tcW w:w="4329" w:type="dxa"/>
            <w:shd w:val="clear" w:color="auto" w:fill="auto"/>
            <w:noWrap/>
            <w:vAlign w:val="bottom"/>
            <w:hideMark/>
          </w:tcPr>
          <w:p w14:paraId="01A62C8C"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T/V Cambridge</w:t>
            </w:r>
          </w:p>
        </w:tc>
      </w:tr>
      <w:tr w:rsidR="00F3298B" w:rsidRPr="00F3298B" w14:paraId="20F1B419" w14:textId="77777777" w:rsidTr="008A4F0E">
        <w:trPr>
          <w:trHeight w:val="300"/>
        </w:trPr>
        <w:tc>
          <w:tcPr>
            <w:tcW w:w="3096" w:type="dxa"/>
            <w:shd w:val="clear" w:color="auto" w:fill="auto"/>
            <w:noWrap/>
            <w:vAlign w:val="bottom"/>
            <w:hideMark/>
          </w:tcPr>
          <w:p w14:paraId="44831264"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Cambridge Water Company</w:t>
            </w:r>
          </w:p>
        </w:tc>
        <w:tc>
          <w:tcPr>
            <w:tcW w:w="1395" w:type="dxa"/>
            <w:shd w:val="clear" w:color="auto" w:fill="auto"/>
            <w:noWrap/>
            <w:vAlign w:val="bottom"/>
            <w:hideMark/>
          </w:tcPr>
          <w:p w14:paraId="73654E0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Washington</w:t>
            </w:r>
          </w:p>
        </w:tc>
        <w:tc>
          <w:tcPr>
            <w:tcW w:w="4329" w:type="dxa"/>
            <w:shd w:val="clear" w:color="auto" w:fill="auto"/>
            <w:noWrap/>
            <w:vAlign w:val="bottom"/>
            <w:hideMark/>
          </w:tcPr>
          <w:p w14:paraId="106F829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Jackson</w:t>
            </w:r>
          </w:p>
        </w:tc>
      </w:tr>
      <w:tr w:rsidR="00F3298B" w:rsidRPr="00F3298B" w14:paraId="2F989703" w14:textId="77777777" w:rsidTr="008A4F0E">
        <w:trPr>
          <w:trHeight w:val="300"/>
        </w:trPr>
        <w:tc>
          <w:tcPr>
            <w:tcW w:w="3096" w:type="dxa"/>
            <w:shd w:val="clear" w:color="auto" w:fill="auto"/>
            <w:noWrap/>
            <w:vAlign w:val="bottom"/>
            <w:hideMark/>
          </w:tcPr>
          <w:p w14:paraId="7396E35E"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Cambridge Water Company</w:t>
            </w:r>
          </w:p>
        </w:tc>
        <w:tc>
          <w:tcPr>
            <w:tcW w:w="1395" w:type="dxa"/>
            <w:shd w:val="clear" w:color="auto" w:fill="auto"/>
            <w:noWrap/>
            <w:vAlign w:val="bottom"/>
            <w:hideMark/>
          </w:tcPr>
          <w:p w14:paraId="7E9D8781"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Washington</w:t>
            </w:r>
          </w:p>
        </w:tc>
        <w:tc>
          <w:tcPr>
            <w:tcW w:w="4329" w:type="dxa"/>
            <w:shd w:val="clear" w:color="auto" w:fill="auto"/>
            <w:noWrap/>
            <w:vAlign w:val="bottom"/>
            <w:hideMark/>
          </w:tcPr>
          <w:p w14:paraId="7C645187"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White Creek</w:t>
            </w:r>
          </w:p>
        </w:tc>
      </w:tr>
      <w:tr w:rsidR="00F3298B" w:rsidRPr="00F3298B" w14:paraId="05D1D478" w14:textId="77777777" w:rsidTr="008A4F0E">
        <w:trPr>
          <w:trHeight w:val="300"/>
        </w:trPr>
        <w:tc>
          <w:tcPr>
            <w:tcW w:w="3096" w:type="dxa"/>
            <w:shd w:val="clear" w:color="auto" w:fill="auto"/>
            <w:noWrap/>
            <w:vAlign w:val="bottom"/>
            <w:hideMark/>
          </w:tcPr>
          <w:p w14:paraId="0BE62862"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Kingsvale Water Company</w:t>
            </w:r>
          </w:p>
        </w:tc>
        <w:tc>
          <w:tcPr>
            <w:tcW w:w="1395" w:type="dxa"/>
            <w:shd w:val="clear" w:color="auto" w:fill="auto"/>
            <w:noWrap/>
            <w:vAlign w:val="bottom"/>
            <w:hideMark/>
          </w:tcPr>
          <w:p w14:paraId="17A7E65C"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Orange</w:t>
            </w:r>
          </w:p>
        </w:tc>
        <w:tc>
          <w:tcPr>
            <w:tcW w:w="4329" w:type="dxa"/>
            <w:shd w:val="clear" w:color="auto" w:fill="auto"/>
            <w:noWrap/>
            <w:vAlign w:val="bottom"/>
            <w:hideMark/>
          </w:tcPr>
          <w:p w14:paraId="1F3D1816"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Middletown</w:t>
            </w:r>
          </w:p>
        </w:tc>
      </w:tr>
      <w:tr w:rsidR="00F3298B" w:rsidRPr="00F3298B" w14:paraId="3181F378" w14:textId="77777777" w:rsidTr="008A4F0E">
        <w:trPr>
          <w:trHeight w:val="300"/>
        </w:trPr>
        <w:tc>
          <w:tcPr>
            <w:tcW w:w="3096" w:type="dxa"/>
            <w:shd w:val="clear" w:color="auto" w:fill="auto"/>
            <w:noWrap/>
            <w:vAlign w:val="bottom"/>
            <w:hideMark/>
          </w:tcPr>
          <w:p w14:paraId="5DD0B637"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Kingsvale Water Company</w:t>
            </w:r>
          </w:p>
        </w:tc>
        <w:tc>
          <w:tcPr>
            <w:tcW w:w="1395" w:type="dxa"/>
            <w:shd w:val="clear" w:color="auto" w:fill="auto"/>
            <w:noWrap/>
            <w:vAlign w:val="bottom"/>
            <w:hideMark/>
          </w:tcPr>
          <w:p w14:paraId="2AEB45C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Orange</w:t>
            </w:r>
          </w:p>
        </w:tc>
        <w:tc>
          <w:tcPr>
            <w:tcW w:w="4329" w:type="dxa"/>
            <w:shd w:val="clear" w:color="auto" w:fill="auto"/>
            <w:noWrap/>
            <w:vAlign w:val="bottom"/>
            <w:hideMark/>
          </w:tcPr>
          <w:p w14:paraId="1EE0CF6B"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Mount Hope</w:t>
            </w:r>
          </w:p>
        </w:tc>
      </w:tr>
      <w:tr w:rsidR="00F3298B" w:rsidRPr="00F3298B" w14:paraId="2EE3CAA7" w14:textId="77777777" w:rsidTr="008A4F0E">
        <w:trPr>
          <w:trHeight w:val="300"/>
        </w:trPr>
        <w:tc>
          <w:tcPr>
            <w:tcW w:w="3096" w:type="dxa"/>
            <w:shd w:val="clear" w:color="auto" w:fill="auto"/>
            <w:noWrap/>
            <w:vAlign w:val="bottom"/>
            <w:hideMark/>
          </w:tcPr>
          <w:p w14:paraId="616613E4"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Kingsvale Water Company</w:t>
            </w:r>
          </w:p>
        </w:tc>
        <w:tc>
          <w:tcPr>
            <w:tcW w:w="1395" w:type="dxa"/>
            <w:shd w:val="clear" w:color="auto" w:fill="auto"/>
            <w:noWrap/>
            <w:vAlign w:val="bottom"/>
            <w:hideMark/>
          </w:tcPr>
          <w:p w14:paraId="2415EEBE"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Orange</w:t>
            </w:r>
          </w:p>
        </w:tc>
        <w:tc>
          <w:tcPr>
            <w:tcW w:w="4329" w:type="dxa"/>
            <w:shd w:val="clear" w:color="auto" w:fill="auto"/>
            <w:noWrap/>
            <w:vAlign w:val="bottom"/>
            <w:hideMark/>
          </w:tcPr>
          <w:p w14:paraId="7874AB7D"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New Windsor</w:t>
            </w:r>
          </w:p>
        </w:tc>
      </w:tr>
      <w:tr w:rsidR="00F3298B" w:rsidRPr="00F3298B" w14:paraId="723A226C" w14:textId="77777777" w:rsidTr="008A4F0E">
        <w:trPr>
          <w:trHeight w:val="300"/>
        </w:trPr>
        <w:tc>
          <w:tcPr>
            <w:tcW w:w="3096" w:type="dxa"/>
            <w:shd w:val="clear" w:color="auto" w:fill="auto"/>
            <w:noWrap/>
            <w:vAlign w:val="bottom"/>
            <w:hideMark/>
          </w:tcPr>
          <w:p w14:paraId="73E24667"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Kingsvale Water Company</w:t>
            </w:r>
          </w:p>
        </w:tc>
        <w:tc>
          <w:tcPr>
            <w:tcW w:w="1395" w:type="dxa"/>
            <w:shd w:val="clear" w:color="auto" w:fill="auto"/>
            <w:noWrap/>
            <w:vAlign w:val="bottom"/>
            <w:hideMark/>
          </w:tcPr>
          <w:p w14:paraId="4AB3C02C"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Putnam</w:t>
            </w:r>
          </w:p>
        </w:tc>
        <w:tc>
          <w:tcPr>
            <w:tcW w:w="4329" w:type="dxa"/>
            <w:shd w:val="clear" w:color="auto" w:fill="auto"/>
            <w:noWrap/>
            <w:vAlign w:val="bottom"/>
            <w:hideMark/>
          </w:tcPr>
          <w:p w14:paraId="6CE0416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Carmel</w:t>
            </w:r>
          </w:p>
        </w:tc>
      </w:tr>
      <w:tr w:rsidR="00F3298B" w:rsidRPr="00F3298B" w14:paraId="05E0702F" w14:textId="77777777" w:rsidTr="008A4F0E">
        <w:trPr>
          <w:trHeight w:val="300"/>
        </w:trPr>
        <w:tc>
          <w:tcPr>
            <w:tcW w:w="3096" w:type="dxa"/>
            <w:shd w:val="clear" w:color="auto" w:fill="auto"/>
            <w:noWrap/>
            <w:vAlign w:val="bottom"/>
            <w:hideMark/>
          </w:tcPr>
          <w:p w14:paraId="3B477BF3"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Kingsvale Water Company</w:t>
            </w:r>
          </w:p>
        </w:tc>
        <w:tc>
          <w:tcPr>
            <w:tcW w:w="1395" w:type="dxa"/>
            <w:shd w:val="clear" w:color="auto" w:fill="auto"/>
            <w:noWrap/>
            <w:vAlign w:val="bottom"/>
            <w:hideMark/>
          </w:tcPr>
          <w:p w14:paraId="406AF6B7"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Sullivan</w:t>
            </w:r>
          </w:p>
        </w:tc>
        <w:tc>
          <w:tcPr>
            <w:tcW w:w="4329" w:type="dxa"/>
            <w:shd w:val="clear" w:color="auto" w:fill="auto"/>
            <w:noWrap/>
            <w:vAlign w:val="bottom"/>
            <w:hideMark/>
          </w:tcPr>
          <w:p w14:paraId="6287915C"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 xml:space="preserve">T/ </w:t>
            </w:r>
            <w:proofErr w:type="spellStart"/>
            <w:r w:rsidRPr="00F3298B">
              <w:rPr>
                <w:rFonts w:ascii="Arial" w:eastAsia="Times New Roman" w:hAnsi="Arial" w:cs="Arial"/>
                <w:color w:val="000000"/>
              </w:rPr>
              <w:t>Mamatking</w:t>
            </w:r>
            <w:proofErr w:type="spellEnd"/>
            <w:r w:rsidRPr="00F3298B">
              <w:rPr>
                <w:rFonts w:ascii="Arial" w:eastAsia="Times New Roman" w:hAnsi="Arial" w:cs="Arial"/>
                <w:color w:val="000000"/>
              </w:rPr>
              <w:t xml:space="preserve"> (V/ Wurtsboro)</w:t>
            </w:r>
          </w:p>
        </w:tc>
      </w:tr>
      <w:tr w:rsidR="00F3298B" w:rsidRPr="00F3298B" w14:paraId="26472D97" w14:textId="77777777" w:rsidTr="008A4F0E">
        <w:trPr>
          <w:trHeight w:val="300"/>
        </w:trPr>
        <w:tc>
          <w:tcPr>
            <w:tcW w:w="3096" w:type="dxa"/>
            <w:shd w:val="clear" w:color="auto" w:fill="auto"/>
            <w:noWrap/>
            <w:vAlign w:val="bottom"/>
            <w:hideMark/>
          </w:tcPr>
          <w:p w14:paraId="0E3C74EC"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Kingsvale Water Company</w:t>
            </w:r>
          </w:p>
        </w:tc>
        <w:tc>
          <w:tcPr>
            <w:tcW w:w="1395" w:type="dxa"/>
            <w:shd w:val="clear" w:color="auto" w:fill="auto"/>
            <w:noWrap/>
            <w:vAlign w:val="bottom"/>
            <w:hideMark/>
          </w:tcPr>
          <w:p w14:paraId="405E3DE7"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Ulster</w:t>
            </w:r>
          </w:p>
        </w:tc>
        <w:tc>
          <w:tcPr>
            <w:tcW w:w="4329" w:type="dxa"/>
            <w:shd w:val="clear" w:color="auto" w:fill="auto"/>
            <w:noWrap/>
            <w:vAlign w:val="bottom"/>
            <w:hideMark/>
          </w:tcPr>
          <w:p w14:paraId="7A799B49"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Ulster</w:t>
            </w:r>
          </w:p>
        </w:tc>
      </w:tr>
      <w:tr w:rsidR="00F3298B" w:rsidRPr="00F3298B" w14:paraId="76037CA3" w14:textId="77777777" w:rsidTr="008A4F0E">
        <w:trPr>
          <w:trHeight w:val="300"/>
        </w:trPr>
        <w:tc>
          <w:tcPr>
            <w:tcW w:w="3096" w:type="dxa"/>
            <w:shd w:val="clear" w:color="auto" w:fill="auto"/>
            <w:noWrap/>
            <w:vAlign w:val="bottom"/>
            <w:hideMark/>
          </w:tcPr>
          <w:p w14:paraId="13ACCD41" w14:textId="77777777" w:rsidR="00F3298B" w:rsidRPr="00F3298B" w:rsidRDefault="00F3298B" w:rsidP="00F3298B">
            <w:pPr>
              <w:spacing w:after="0" w:line="240" w:lineRule="auto"/>
              <w:jc w:val="center"/>
              <w:rPr>
                <w:rFonts w:ascii="Arial" w:eastAsia="Times New Roman" w:hAnsi="Arial" w:cs="Arial"/>
                <w:color w:val="000000"/>
              </w:rPr>
            </w:pPr>
            <w:proofErr w:type="spellStart"/>
            <w:r w:rsidRPr="00F3298B">
              <w:rPr>
                <w:rFonts w:ascii="Arial" w:eastAsia="Times New Roman" w:hAnsi="Arial" w:cs="Arial"/>
                <w:color w:val="000000"/>
              </w:rPr>
              <w:t>Dykeer</w:t>
            </w:r>
            <w:proofErr w:type="spellEnd"/>
            <w:r w:rsidRPr="00F3298B">
              <w:rPr>
                <w:rFonts w:ascii="Arial" w:eastAsia="Times New Roman" w:hAnsi="Arial" w:cs="Arial"/>
                <w:color w:val="000000"/>
              </w:rPr>
              <w:t xml:space="preserve"> Water Works</w:t>
            </w:r>
          </w:p>
        </w:tc>
        <w:tc>
          <w:tcPr>
            <w:tcW w:w="1395" w:type="dxa"/>
            <w:shd w:val="clear" w:color="auto" w:fill="auto"/>
            <w:noWrap/>
            <w:vAlign w:val="bottom"/>
            <w:hideMark/>
          </w:tcPr>
          <w:p w14:paraId="674AF075"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Westchester</w:t>
            </w:r>
          </w:p>
        </w:tc>
        <w:tc>
          <w:tcPr>
            <w:tcW w:w="4329" w:type="dxa"/>
            <w:shd w:val="clear" w:color="auto" w:fill="auto"/>
            <w:noWrap/>
            <w:vAlign w:val="bottom"/>
            <w:hideMark/>
          </w:tcPr>
          <w:p w14:paraId="40F79B09"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Somers</w:t>
            </w:r>
          </w:p>
        </w:tc>
      </w:tr>
      <w:tr w:rsidR="00F3298B" w:rsidRPr="00F3298B" w14:paraId="5E76AB61" w14:textId="77777777" w:rsidTr="008A4F0E">
        <w:trPr>
          <w:trHeight w:val="300"/>
        </w:trPr>
        <w:tc>
          <w:tcPr>
            <w:tcW w:w="3096" w:type="dxa"/>
            <w:shd w:val="clear" w:color="auto" w:fill="auto"/>
            <w:noWrap/>
            <w:vAlign w:val="bottom"/>
            <w:hideMark/>
          </w:tcPr>
          <w:p w14:paraId="7ED1674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 xml:space="preserve">Mt. </w:t>
            </w:r>
            <w:proofErr w:type="spellStart"/>
            <w:r w:rsidRPr="00F3298B">
              <w:rPr>
                <w:rFonts w:ascii="Arial" w:eastAsia="Times New Roman" w:hAnsi="Arial" w:cs="Arial"/>
                <w:color w:val="000000"/>
              </w:rPr>
              <w:t>Ebo</w:t>
            </w:r>
            <w:proofErr w:type="spellEnd"/>
            <w:r w:rsidRPr="00F3298B">
              <w:rPr>
                <w:rFonts w:ascii="Arial" w:eastAsia="Times New Roman" w:hAnsi="Arial" w:cs="Arial"/>
                <w:color w:val="000000"/>
              </w:rPr>
              <w:t xml:space="preserve"> Sewer </w:t>
            </w:r>
            <w:proofErr w:type="gramStart"/>
            <w:r w:rsidRPr="00F3298B">
              <w:rPr>
                <w:rFonts w:ascii="Arial" w:eastAsia="Times New Roman" w:hAnsi="Arial" w:cs="Arial"/>
                <w:color w:val="000000"/>
              </w:rPr>
              <w:t>Waste Water</w:t>
            </w:r>
            <w:proofErr w:type="gramEnd"/>
          </w:p>
        </w:tc>
        <w:tc>
          <w:tcPr>
            <w:tcW w:w="1395" w:type="dxa"/>
            <w:shd w:val="clear" w:color="auto" w:fill="auto"/>
            <w:noWrap/>
            <w:vAlign w:val="bottom"/>
            <w:hideMark/>
          </w:tcPr>
          <w:p w14:paraId="42742EEA"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Putnam</w:t>
            </w:r>
          </w:p>
        </w:tc>
        <w:tc>
          <w:tcPr>
            <w:tcW w:w="4329" w:type="dxa"/>
            <w:shd w:val="clear" w:color="auto" w:fill="auto"/>
            <w:noWrap/>
            <w:vAlign w:val="bottom"/>
            <w:hideMark/>
          </w:tcPr>
          <w:p w14:paraId="7E38A74A"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Southeast</w:t>
            </w:r>
          </w:p>
        </w:tc>
      </w:tr>
      <w:tr w:rsidR="00F3298B" w:rsidRPr="00F3298B" w14:paraId="0CC0B3DB" w14:textId="77777777" w:rsidTr="008A4F0E">
        <w:trPr>
          <w:trHeight w:val="300"/>
        </w:trPr>
        <w:tc>
          <w:tcPr>
            <w:tcW w:w="3096" w:type="dxa"/>
            <w:shd w:val="clear" w:color="auto" w:fill="auto"/>
            <w:noWrap/>
            <w:vAlign w:val="bottom"/>
            <w:hideMark/>
          </w:tcPr>
          <w:p w14:paraId="09999EDA"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 xml:space="preserve">Mt. </w:t>
            </w:r>
            <w:proofErr w:type="spellStart"/>
            <w:r w:rsidRPr="00F3298B">
              <w:rPr>
                <w:rFonts w:ascii="Arial" w:eastAsia="Times New Roman" w:hAnsi="Arial" w:cs="Arial"/>
                <w:color w:val="000000"/>
              </w:rPr>
              <w:t>Ebo</w:t>
            </w:r>
            <w:proofErr w:type="spellEnd"/>
            <w:r w:rsidRPr="00F3298B">
              <w:rPr>
                <w:rFonts w:ascii="Arial" w:eastAsia="Times New Roman" w:hAnsi="Arial" w:cs="Arial"/>
                <w:color w:val="000000"/>
              </w:rPr>
              <w:t xml:space="preserve"> Water Company</w:t>
            </w:r>
          </w:p>
        </w:tc>
        <w:tc>
          <w:tcPr>
            <w:tcW w:w="1395" w:type="dxa"/>
            <w:shd w:val="clear" w:color="auto" w:fill="auto"/>
            <w:noWrap/>
            <w:vAlign w:val="bottom"/>
            <w:hideMark/>
          </w:tcPr>
          <w:p w14:paraId="656FD946"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 xml:space="preserve">Putnam </w:t>
            </w:r>
          </w:p>
        </w:tc>
        <w:tc>
          <w:tcPr>
            <w:tcW w:w="4329" w:type="dxa"/>
            <w:shd w:val="clear" w:color="auto" w:fill="auto"/>
            <w:noWrap/>
            <w:vAlign w:val="bottom"/>
            <w:hideMark/>
          </w:tcPr>
          <w:p w14:paraId="0EEF489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T/Southeast (V/ Brewster)</w:t>
            </w:r>
          </w:p>
        </w:tc>
      </w:tr>
      <w:tr w:rsidR="00F3298B" w:rsidRPr="00F3298B" w14:paraId="582F6784" w14:textId="77777777" w:rsidTr="008A4F0E">
        <w:trPr>
          <w:trHeight w:val="300"/>
        </w:trPr>
        <w:tc>
          <w:tcPr>
            <w:tcW w:w="3096" w:type="dxa"/>
            <w:shd w:val="clear" w:color="auto" w:fill="auto"/>
            <w:noWrap/>
            <w:vAlign w:val="bottom"/>
            <w:hideMark/>
          </w:tcPr>
          <w:p w14:paraId="57C09AB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12FC6D99"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79053782"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T/Hempstead (V/ Lawrence)</w:t>
            </w:r>
          </w:p>
        </w:tc>
      </w:tr>
      <w:tr w:rsidR="00F3298B" w:rsidRPr="00F3298B" w14:paraId="6572D612" w14:textId="77777777" w:rsidTr="008A4F0E">
        <w:trPr>
          <w:trHeight w:val="300"/>
        </w:trPr>
        <w:tc>
          <w:tcPr>
            <w:tcW w:w="3096" w:type="dxa"/>
            <w:shd w:val="clear" w:color="auto" w:fill="auto"/>
            <w:noWrap/>
            <w:vAlign w:val="bottom"/>
            <w:hideMark/>
          </w:tcPr>
          <w:p w14:paraId="2DA3255F"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66DD6EFF"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57F82366"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T/Hempstead (V/ Lynbrook)</w:t>
            </w:r>
          </w:p>
        </w:tc>
      </w:tr>
      <w:tr w:rsidR="00F3298B" w:rsidRPr="00F3298B" w14:paraId="7DD8794C" w14:textId="77777777" w:rsidTr="008A4F0E">
        <w:trPr>
          <w:trHeight w:val="300"/>
        </w:trPr>
        <w:tc>
          <w:tcPr>
            <w:tcW w:w="3096" w:type="dxa"/>
            <w:shd w:val="clear" w:color="auto" w:fill="auto"/>
            <w:noWrap/>
            <w:vAlign w:val="bottom"/>
            <w:hideMark/>
          </w:tcPr>
          <w:p w14:paraId="018B5E77"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Cambridge Water Works</w:t>
            </w:r>
          </w:p>
        </w:tc>
        <w:tc>
          <w:tcPr>
            <w:tcW w:w="1395" w:type="dxa"/>
            <w:shd w:val="clear" w:color="auto" w:fill="auto"/>
            <w:noWrap/>
            <w:vAlign w:val="bottom"/>
            <w:hideMark/>
          </w:tcPr>
          <w:p w14:paraId="5AB39A40"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Washington</w:t>
            </w:r>
          </w:p>
        </w:tc>
        <w:tc>
          <w:tcPr>
            <w:tcW w:w="4329" w:type="dxa"/>
            <w:shd w:val="clear" w:color="auto" w:fill="auto"/>
            <w:noWrap/>
            <w:vAlign w:val="bottom"/>
            <w:hideMark/>
          </w:tcPr>
          <w:p w14:paraId="37316ABC"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T/V Cambridge</w:t>
            </w:r>
          </w:p>
        </w:tc>
      </w:tr>
      <w:tr w:rsidR="00F3298B" w:rsidRPr="00F3298B" w14:paraId="3A5DD528" w14:textId="77777777" w:rsidTr="008A4F0E">
        <w:trPr>
          <w:trHeight w:val="300"/>
        </w:trPr>
        <w:tc>
          <w:tcPr>
            <w:tcW w:w="3096" w:type="dxa"/>
            <w:shd w:val="clear" w:color="auto" w:fill="auto"/>
            <w:noWrap/>
            <w:vAlign w:val="bottom"/>
            <w:hideMark/>
          </w:tcPr>
          <w:p w14:paraId="74B251FE"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Cambridge Water Works</w:t>
            </w:r>
          </w:p>
        </w:tc>
        <w:tc>
          <w:tcPr>
            <w:tcW w:w="1395" w:type="dxa"/>
            <w:shd w:val="clear" w:color="auto" w:fill="auto"/>
            <w:noWrap/>
            <w:vAlign w:val="bottom"/>
            <w:hideMark/>
          </w:tcPr>
          <w:p w14:paraId="78006100"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Washington</w:t>
            </w:r>
          </w:p>
        </w:tc>
        <w:tc>
          <w:tcPr>
            <w:tcW w:w="4329" w:type="dxa"/>
            <w:shd w:val="clear" w:color="auto" w:fill="auto"/>
            <w:noWrap/>
            <w:vAlign w:val="bottom"/>
            <w:hideMark/>
          </w:tcPr>
          <w:p w14:paraId="41963436"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White Creek (V/ Cambridge)</w:t>
            </w:r>
          </w:p>
        </w:tc>
      </w:tr>
      <w:tr w:rsidR="00F3298B" w:rsidRPr="00F3298B" w14:paraId="4E6E48BE" w14:textId="77777777" w:rsidTr="008A4F0E">
        <w:trPr>
          <w:trHeight w:val="300"/>
        </w:trPr>
        <w:tc>
          <w:tcPr>
            <w:tcW w:w="3096" w:type="dxa"/>
            <w:shd w:val="clear" w:color="auto" w:fill="auto"/>
            <w:noWrap/>
            <w:vAlign w:val="bottom"/>
            <w:hideMark/>
          </w:tcPr>
          <w:p w14:paraId="3CC73BB2"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Sea Cliff Water Company</w:t>
            </w:r>
          </w:p>
        </w:tc>
        <w:tc>
          <w:tcPr>
            <w:tcW w:w="1395" w:type="dxa"/>
            <w:shd w:val="clear" w:color="auto" w:fill="auto"/>
            <w:noWrap/>
            <w:vAlign w:val="bottom"/>
            <w:hideMark/>
          </w:tcPr>
          <w:p w14:paraId="4249DF2D"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27038E13"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Oyster Bay (V/ Sea Cliff)</w:t>
            </w:r>
          </w:p>
        </w:tc>
      </w:tr>
      <w:tr w:rsidR="00F3298B" w:rsidRPr="00F3298B" w14:paraId="4E6503AF" w14:textId="77777777" w:rsidTr="008A4F0E">
        <w:trPr>
          <w:trHeight w:val="300"/>
        </w:trPr>
        <w:tc>
          <w:tcPr>
            <w:tcW w:w="3096" w:type="dxa"/>
            <w:shd w:val="clear" w:color="auto" w:fill="auto"/>
            <w:noWrap/>
            <w:vAlign w:val="bottom"/>
            <w:hideMark/>
          </w:tcPr>
          <w:p w14:paraId="77E972B1"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Sea Cliff Water Company</w:t>
            </w:r>
          </w:p>
        </w:tc>
        <w:tc>
          <w:tcPr>
            <w:tcW w:w="1395" w:type="dxa"/>
            <w:shd w:val="clear" w:color="auto" w:fill="auto"/>
            <w:noWrap/>
            <w:vAlign w:val="bottom"/>
            <w:hideMark/>
          </w:tcPr>
          <w:p w14:paraId="51E1F00E"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63C31762"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North Hempstead (V/ Roslyn Estates)</w:t>
            </w:r>
          </w:p>
        </w:tc>
      </w:tr>
      <w:tr w:rsidR="00F3298B" w:rsidRPr="00F3298B" w14:paraId="633B16D2" w14:textId="77777777" w:rsidTr="008A4F0E">
        <w:trPr>
          <w:trHeight w:val="300"/>
        </w:trPr>
        <w:tc>
          <w:tcPr>
            <w:tcW w:w="3096" w:type="dxa"/>
            <w:shd w:val="clear" w:color="auto" w:fill="auto"/>
            <w:noWrap/>
            <w:vAlign w:val="bottom"/>
            <w:hideMark/>
          </w:tcPr>
          <w:p w14:paraId="144B3ECC"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Sea Cliff Water Company</w:t>
            </w:r>
          </w:p>
        </w:tc>
        <w:tc>
          <w:tcPr>
            <w:tcW w:w="1395" w:type="dxa"/>
            <w:shd w:val="clear" w:color="auto" w:fill="auto"/>
            <w:noWrap/>
            <w:vAlign w:val="bottom"/>
            <w:hideMark/>
          </w:tcPr>
          <w:p w14:paraId="25B4D301"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250F9E5D"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Oyster Bay (V/ Old Brookville)</w:t>
            </w:r>
          </w:p>
        </w:tc>
      </w:tr>
      <w:tr w:rsidR="00F3298B" w:rsidRPr="00F3298B" w14:paraId="25DED8EE" w14:textId="77777777" w:rsidTr="008A4F0E">
        <w:trPr>
          <w:trHeight w:val="300"/>
        </w:trPr>
        <w:tc>
          <w:tcPr>
            <w:tcW w:w="3096" w:type="dxa"/>
            <w:shd w:val="clear" w:color="auto" w:fill="auto"/>
            <w:noWrap/>
            <w:vAlign w:val="bottom"/>
            <w:hideMark/>
          </w:tcPr>
          <w:p w14:paraId="6CE7699A"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Sea Cliff Water Company</w:t>
            </w:r>
          </w:p>
        </w:tc>
        <w:tc>
          <w:tcPr>
            <w:tcW w:w="1395" w:type="dxa"/>
            <w:shd w:val="clear" w:color="auto" w:fill="auto"/>
            <w:noWrap/>
            <w:vAlign w:val="bottom"/>
            <w:hideMark/>
          </w:tcPr>
          <w:p w14:paraId="04CB27B1"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00BE76C3"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Oyster Bay (V/ Roslyn Harbor)</w:t>
            </w:r>
          </w:p>
        </w:tc>
      </w:tr>
      <w:tr w:rsidR="00F3298B" w:rsidRPr="00F3298B" w14:paraId="64FC0CEE" w14:textId="77777777" w:rsidTr="008A4F0E">
        <w:trPr>
          <w:trHeight w:val="300"/>
        </w:trPr>
        <w:tc>
          <w:tcPr>
            <w:tcW w:w="3096" w:type="dxa"/>
            <w:shd w:val="clear" w:color="auto" w:fill="auto"/>
            <w:noWrap/>
            <w:vAlign w:val="bottom"/>
            <w:hideMark/>
          </w:tcPr>
          <w:p w14:paraId="7134DDE1"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Sea Cliff Water Company</w:t>
            </w:r>
          </w:p>
        </w:tc>
        <w:tc>
          <w:tcPr>
            <w:tcW w:w="1395" w:type="dxa"/>
            <w:shd w:val="clear" w:color="auto" w:fill="auto"/>
            <w:noWrap/>
            <w:vAlign w:val="bottom"/>
            <w:hideMark/>
          </w:tcPr>
          <w:p w14:paraId="1430E7A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3333CAE9"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Oyster Bay (V/ Old Brookville)</w:t>
            </w:r>
          </w:p>
        </w:tc>
      </w:tr>
      <w:tr w:rsidR="00F3298B" w:rsidRPr="00F3298B" w14:paraId="5EECBD1A" w14:textId="77777777" w:rsidTr="008A4F0E">
        <w:trPr>
          <w:trHeight w:val="300"/>
        </w:trPr>
        <w:tc>
          <w:tcPr>
            <w:tcW w:w="3096" w:type="dxa"/>
            <w:shd w:val="clear" w:color="auto" w:fill="auto"/>
            <w:noWrap/>
            <w:vAlign w:val="bottom"/>
            <w:hideMark/>
          </w:tcPr>
          <w:p w14:paraId="348900D2"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Sea Cliff Water Company</w:t>
            </w:r>
          </w:p>
        </w:tc>
        <w:tc>
          <w:tcPr>
            <w:tcW w:w="1395" w:type="dxa"/>
            <w:shd w:val="clear" w:color="auto" w:fill="auto"/>
            <w:noWrap/>
            <w:vAlign w:val="bottom"/>
            <w:hideMark/>
          </w:tcPr>
          <w:p w14:paraId="06F14385"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70B806E0"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Oyster Bay</w:t>
            </w:r>
          </w:p>
        </w:tc>
      </w:tr>
      <w:tr w:rsidR="00F3298B" w:rsidRPr="00F3298B" w14:paraId="290E1FC2" w14:textId="77777777" w:rsidTr="008A4F0E">
        <w:trPr>
          <w:trHeight w:val="300"/>
        </w:trPr>
        <w:tc>
          <w:tcPr>
            <w:tcW w:w="3096" w:type="dxa"/>
            <w:shd w:val="clear" w:color="auto" w:fill="auto"/>
            <w:noWrap/>
            <w:vAlign w:val="bottom"/>
            <w:hideMark/>
          </w:tcPr>
          <w:p w14:paraId="3B1F86DB"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Kingsvale Water Company</w:t>
            </w:r>
          </w:p>
        </w:tc>
        <w:tc>
          <w:tcPr>
            <w:tcW w:w="1395" w:type="dxa"/>
            <w:shd w:val="clear" w:color="auto" w:fill="auto"/>
            <w:noWrap/>
            <w:vAlign w:val="bottom"/>
            <w:hideMark/>
          </w:tcPr>
          <w:p w14:paraId="4385556D"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6D2B1694"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Oyster Bay (V/ Mill Neck)</w:t>
            </w:r>
          </w:p>
        </w:tc>
      </w:tr>
      <w:tr w:rsidR="00F3298B" w:rsidRPr="00F3298B" w14:paraId="5B2DDB18" w14:textId="77777777" w:rsidTr="008A4F0E">
        <w:trPr>
          <w:trHeight w:val="300"/>
        </w:trPr>
        <w:tc>
          <w:tcPr>
            <w:tcW w:w="3096" w:type="dxa"/>
            <w:shd w:val="clear" w:color="auto" w:fill="auto"/>
            <w:noWrap/>
            <w:vAlign w:val="bottom"/>
            <w:hideMark/>
          </w:tcPr>
          <w:p w14:paraId="1DE50FD9"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779DBE69"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799EC664"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Hempstead (V/ Cedarhurst)</w:t>
            </w:r>
          </w:p>
        </w:tc>
      </w:tr>
      <w:tr w:rsidR="00F3298B" w:rsidRPr="00F3298B" w14:paraId="0D0C81EC" w14:textId="77777777" w:rsidTr="008A4F0E">
        <w:trPr>
          <w:trHeight w:val="300"/>
        </w:trPr>
        <w:tc>
          <w:tcPr>
            <w:tcW w:w="3096" w:type="dxa"/>
            <w:shd w:val="clear" w:color="auto" w:fill="auto"/>
            <w:noWrap/>
            <w:vAlign w:val="bottom"/>
            <w:hideMark/>
          </w:tcPr>
          <w:p w14:paraId="093B0FCC"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39D9C40D"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7242F060"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Hempstead (V/ East Rockaway)</w:t>
            </w:r>
          </w:p>
        </w:tc>
      </w:tr>
      <w:tr w:rsidR="00F3298B" w:rsidRPr="00F3298B" w14:paraId="3BFD66EF" w14:textId="77777777" w:rsidTr="008A4F0E">
        <w:trPr>
          <w:trHeight w:val="300"/>
        </w:trPr>
        <w:tc>
          <w:tcPr>
            <w:tcW w:w="3096" w:type="dxa"/>
            <w:shd w:val="clear" w:color="auto" w:fill="auto"/>
            <w:noWrap/>
            <w:vAlign w:val="bottom"/>
            <w:hideMark/>
          </w:tcPr>
          <w:p w14:paraId="33E0F5B4"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583ED25B"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7D18D056"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Hempstead (V/ Hewlett Bay Park)</w:t>
            </w:r>
          </w:p>
        </w:tc>
      </w:tr>
      <w:tr w:rsidR="00F3298B" w:rsidRPr="00F3298B" w14:paraId="1805EE39" w14:textId="77777777" w:rsidTr="008A4F0E">
        <w:trPr>
          <w:trHeight w:val="300"/>
        </w:trPr>
        <w:tc>
          <w:tcPr>
            <w:tcW w:w="3096" w:type="dxa"/>
            <w:shd w:val="clear" w:color="auto" w:fill="auto"/>
            <w:noWrap/>
            <w:vAlign w:val="bottom"/>
            <w:hideMark/>
          </w:tcPr>
          <w:p w14:paraId="0362A3B0"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7A2E47A3"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5C7F3AF7"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Hempstead (V/ Hewlett Bay Harbor)</w:t>
            </w:r>
          </w:p>
        </w:tc>
      </w:tr>
      <w:tr w:rsidR="00F3298B" w:rsidRPr="00F3298B" w14:paraId="14817E67" w14:textId="77777777" w:rsidTr="008A4F0E">
        <w:trPr>
          <w:trHeight w:val="300"/>
        </w:trPr>
        <w:tc>
          <w:tcPr>
            <w:tcW w:w="3096" w:type="dxa"/>
            <w:shd w:val="clear" w:color="auto" w:fill="auto"/>
            <w:noWrap/>
            <w:vAlign w:val="bottom"/>
            <w:hideMark/>
          </w:tcPr>
          <w:p w14:paraId="3690C80A"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6B56FE79"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036D55CE"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Hempstead (V/ Hewlett Neck)</w:t>
            </w:r>
          </w:p>
        </w:tc>
      </w:tr>
      <w:tr w:rsidR="00F3298B" w:rsidRPr="00F3298B" w14:paraId="5A65259F" w14:textId="77777777" w:rsidTr="008A4F0E">
        <w:trPr>
          <w:trHeight w:val="300"/>
        </w:trPr>
        <w:tc>
          <w:tcPr>
            <w:tcW w:w="3096" w:type="dxa"/>
            <w:shd w:val="clear" w:color="auto" w:fill="auto"/>
            <w:noWrap/>
            <w:vAlign w:val="bottom"/>
            <w:hideMark/>
          </w:tcPr>
          <w:p w14:paraId="46DB029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5AFF5E81"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11D95A2D"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Hempstead (V/ Island Park)</w:t>
            </w:r>
          </w:p>
        </w:tc>
      </w:tr>
      <w:tr w:rsidR="00F3298B" w:rsidRPr="00F3298B" w14:paraId="694783AF" w14:textId="77777777" w:rsidTr="008A4F0E">
        <w:trPr>
          <w:trHeight w:val="300"/>
        </w:trPr>
        <w:tc>
          <w:tcPr>
            <w:tcW w:w="3096" w:type="dxa"/>
            <w:shd w:val="clear" w:color="auto" w:fill="auto"/>
            <w:noWrap/>
            <w:vAlign w:val="bottom"/>
            <w:hideMark/>
          </w:tcPr>
          <w:p w14:paraId="7561243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2AB761EB"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58344BA9"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 xml:space="preserve">T/ Hempstead (V/ </w:t>
            </w:r>
            <w:proofErr w:type="spellStart"/>
            <w:r w:rsidRPr="00F3298B">
              <w:rPr>
                <w:rFonts w:ascii="Arial" w:eastAsia="Times New Roman" w:hAnsi="Arial" w:cs="Arial"/>
                <w:color w:val="000000"/>
              </w:rPr>
              <w:t>Malverne</w:t>
            </w:r>
            <w:proofErr w:type="spellEnd"/>
            <w:r w:rsidRPr="00F3298B">
              <w:rPr>
                <w:rFonts w:ascii="Arial" w:eastAsia="Times New Roman" w:hAnsi="Arial" w:cs="Arial"/>
                <w:color w:val="000000"/>
              </w:rPr>
              <w:t>)</w:t>
            </w:r>
          </w:p>
        </w:tc>
      </w:tr>
      <w:tr w:rsidR="00F3298B" w:rsidRPr="00F3298B" w14:paraId="305CE1FF" w14:textId="77777777" w:rsidTr="008A4F0E">
        <w:trPr>
          <w:trHeight w:val="300"/>
        </w:trPr>
        <w:tc>
          <w:tcPr>
            <w:tcW w:w="3096" w:type="dxa"/>
            <w:shd w:val="clear" w:color="auto" w:fill="auto"/>
            <w:noWrap/>
            <w:vAlign w:val="bottom"/>
            <w:hideMark/>
          </w:tcPr>
          <w:p w14:paraId="7793C2FD"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7AAC4BC2"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3EE34863"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Hempstead (V/ Valley Stream)</w:t>
            </w:r>
          </w:p>
        </w:tc>
      </w:tr>
      <w:tr w:rsidR="00F3298B" w:rsidRPr="00F3298B" w14:paraId="2D29AA02" w14:textId="77777777" w:rsidTr="008A4F0E">
        <w:trPr>
          <w:trHeight w:val="300"/>
        </w:trPr>
        <w:tc>
          <w:tcPr>
            <w:tcW w:w="3096" w:type="dxa"/>
            <w:shd w:val="clear" w:color="auto" w:fill="auto"/>
            <w:noWrap/>
            <w:vAlign w:val="bottom"/>
            <w:hideMark/>
          </w:tcPr>
          <w:p w14:paraId="7656B9EB"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782754BE"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17EAFE47"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 xml:space="preserve">T/ Hempstead (V/ </w:t>
            </w:r>
            <w:proofErr w:type="spellStart"/>
            <w:r w:rsidRPr="00F3298B">
              <w:rPr>
                <w:rFonts w:ascii="Arial" w:eastAsia="Times New Roman" w:hAnsi="Arial" w:cs="Arial"/>
                <w:color w:val="000000"/>
              </w:rPr>
              <w:t>Woodsburgh</w:t>
            </w:r>
            <w:proofErr w:type="spellEnd"/>
            <w:r w:rsidRPr="00F3298B">
              <w:rPr>
                <w:rFonts w:ascii="Arial" w:eastAsia="Times New Roman" w:hAnsi="Arial" w:cs="Arial"/>
                <w:color w:val="000000"/>
              </w:rPr>
              <w:t>)</w:t>
            </w:r>
          </w:p>
        </w:tc>
      </w:tr>
      <w:tr w:rsidR="00F3298B" w:rsidRPr="00F3298B" w14:paraId="67837BE8" w14:textId="77777777" w:rsidTr="008A4F0E">
        <w:trPr>
          <w:trHeight w:val="300"/>
        </w:trPr>
        <w:tc>
          <w:tcPr>
            <w:tcW w:w="3096" w:type="dxa"/>
            <w:shd w:val="clear" w:color="auto" w:fill="auto"/>
            <w:noWrap/>
            <w:vAlign w:val="bottom"/>
            <w:hideMark/>
          </w:tcPr>
          <w:p w14:paraId="326BDBC1"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6EDA4A76"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4767786B"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Hempstead (V/ Atlantic Beach)</w:t>
            </w:r>
          </w:p>
        </w:tc>
      </w:tr>
      <w:tr w:rsidR="00F3298B" w:rsidRPr="00F3298B" w14:paraId="34D82D30" w14:textId="77777777" w:rsidTr="008A4F0E">
        <w:trPr>
          <w:trHeight w:val="300"/>
        </w:trPr>
        <w:tc>
          <w:tcPr>
            <w:tcW w:w="3096" w:type="dxa"/>
            <w:shd w:val="clear" w:color="auto" w:fill="auto"/>
            <w:noWrap/>
            <w:vAlign w:val="bottom"/>
            <w:hideMark/>
          </w:tcPr>
          <w:p w14:paraId="3A3567B8"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Long Island Water Company</w:t>
            </w:r>
          </w:p>
        </w:tc>
        <w:tc>
          <w:tcPr>
            <w:tcW w:w="1395" w:type="dxa"/>
            <w:shd w:val="clear" w:color="auto" w:fill="auto"/>
            <w:noWrap/>
            <w:vAlign w:val="bottom"/>
            <w:hideMark/>
          </w:tcPr>
          <w:p w14:paraId="2DD8E206"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7463D465"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Hempstead</w:t>
            </w:r>
          </w:p>
        </w:tc>
      </w:tr>
      <w:tr w:rsidR="00F3298B" w:rsidRPr="00F3298B" w14:paraId="33A52DDB" w14:textId="77777777" w:rsidTr="008A4F0E">
        <w:trPr>
          <w:trHeight w:val="300"/>
        </w:trPr>
        <w:tc>
          <w:tcPr>
            <w:tcW w:w="3096" w:type="dxa"/>
            <w:shd w:val="clear" w:color="auto" w:fill="auto"/>
            <w:noWrap/>
            <w:vAlign w:val="bottom"/>
            <w:hideMark/>
          </w:tcPr>
          <w:p w14:paraId="644A6613"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New York Water Service</w:t>
            </w:r>
          </w:p>
        </w:tc>
        <w:tc>
          <w:tcPr>
            <w:tcW w:w="1395" w:type="dxa"/>
            <w:shd w:val="clear" w:color="auto" w:fill="auto"/>
            <w:noWrap/>
            <w:vAlign w:val="bottom"/>
            <w:hideMark/>
          </w:tcPr>
          <w:p w14:paraId="153AC65D"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0AD8A100"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Hempstead</w:t>
            </w:r>
          </w:p>
        </w:tc>
      </w:tr>
      <w:tr w:rsidR="00F3298B" w:rsidRPr="00F3298B" w14:paraId="14F48663" w14:textId="77777777" w:rsidTr="008A4F0E">
        <w:trPr>
          <w:trHeight w:val="300"/>
        </w:trPr>
        <w:tc>
          <w:tcPr>
            <w:tcW w:w="3096" w:type="dxa"/>
            <w:shd w:val="clear" w:color="auto" w:fill="auto"/>
            <w:noWrap/>
            <w:vAlign w:val="bottom"/>
            <w:hideMark/>
          </w:tcPr>
          <w:p w14:paraId="62DCEE84"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New York Water Service</w:t>
            </w:r>
          </w:p>
        </w:tc>
        <w:tc>
          <w:tcPr>
            <w:tcW w:w="1395" w:type="dxa"/>
            <w:shd w:val="clear" w:color="auto" w:fill="auto"/>
            <w:noWrap/>
            <w:vAlign w:val="bottom"/>
            <w:hideMark/>
          </w:tcPr>
          <w:p w14:paraId="50B7347D"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1F6586E3"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Oyster Bay (V/ Massapequa Park)</w:t>
            </w:r>
          </w:p>
        </w:tc>
      </w:tr>
      <w:tr w:rsidR="00F3298B" w:rsidRPr="00F3298B" w14:paraId="158BC63B" w14:textId="77777777" w:rsidTr="008A4F0E">
        <w:trPr>
          <w:trHeight w:val="300"/>
        </w:trPr>
        <w:tc>
          <w:tcPr>
            <w:tcW w:w="3096" w:type="dxa"/>
            <w:shd w:val="clear" w:color="auto" w:fill="auto"/>
            <w:noWrap/>
            <w:vAlign w:val="bottom"/>
            <w:hideMark/>
          </w:tcPr>
          <w:p w14:paraId="03D4483B"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New York Water Service</w:t>
            </w:r>
          </w:p>
        </w:tc>
        <w:tc>
          <w:tcPr>
            <w:tcW w:w="1395" w:type="dxa"/>
            <w:shd w:val="clear" w:color="auto" w:fill="auto"/>
            <w:noWrap/>
            <w:vAlign w:val="bottom"/>
            <w:hideMark/>
          </w:tcPr>
          <w:p w14:paraId="01E39EC2"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Nassau</w:t>
            </w:r>
          </w:p>
        </w:tc>
        <w:tc>
          <w:tcPr>
            <w:tcW w:w="4329" w:type="dxa"/>
            <w:shd w:val="clear" w:color="auto" w:fill="auto"/>
            <w:noWrap/>
            <w:vAlign w:val="bottom"/>
            <w:hideMark/>
          </w:tcPr>
          <w:p w14:paraId="144E291C"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T/ Oyster Bay</w:t>
            </w:r>
          </w:p>
        </w:tc>
      </w:tr>
      <w:tr w:rsidR="00F3298B" w:rsidRPr="00F3298B" w14:paraId="1B3015B4" w14:textId="77777777" w:rsidTr="008A4F0E">
        <w:trPr>
          <w:trHeight w:val="300"/>
        </w:trPr>
        <w:tc>
          <w:tcPr>
            <w:tcW w:w="3096" w:type="dxa"/>
            <w:shd w:val="clear" w:color="auto" w:fill="auto"/>
            <w:noWrap/>
            <w:vAlign w:val="bottom"/>
            <w:hideMark/>
          </w:tcPr>
          <w:p w14:paraId="2E40929C"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Kingsvale Water Company</w:t>
            </w:r>
          </w:p>
        </w:tc>
        <w:tc>
          <w:tcPr>
            <w:tcW w:w="1395" w:type="dxa"/>
            <w:shd w:val="clear" w:color="auto" w:fill="auto"/>
            <w:noWrap/>
            <w:vAlign w:val="bottom"/>
            <w:hideMark/>
          </w:tcPr>
          <w:p w14:paraId="7E4547F4"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Sullivan</w:t>
            </w:r>
          </w:p>
        </w:tc>
        <w:tc>
          <w:tcPr>
            <w:tcW w:w="4329" w:type="dxa"/>
            <w:shd w:val="clear" w:color="auto" w:fill="auto"/>
            <w:noWrap/>
            <w:vAlign w:val="bottom"/>
            <w:hideMark/>
          </w:tcPr>
          <w:p w14:paraId="42E66150" w14:textId="77777777" w:rsidR="00F3298B" w:rsidRPr="00F3298B" w:rsidRDefault="00F3298B" w:rsidP="00F3298B">
            <w:pPr>
              <w:spacing w:after="0" w:line="240" w:lineRule="auto"/>
              <w:jc w:val="center"/>
              <w:rPr>
                <w:rFonts w:ascii="Arial" w:eastAsia="Times New Roman" w:hAnsi="Arial" w:cs="Arial"/>
                <w:color w:val="000000"/>
              </w:rPr>
            </w:pPr>
            <w:r w:rsidRPr="00F3298B">
              <w:rPr>
                <w:rFonts w:ascii="Arial" w:eastAsia="Times New Roman" w:hAnsi="Arial" w:cs="Arial"/>
                <w:color w:val="000000"/>
              </w:rPr>
              <w:t xml:space="preserve">T/ </w:t>
            </w:r>
            <w:proofErr w:type="spellStart"/>
            <w:r w:rsidRPr="00F3298B">
              <w:rPr>
                <w:rFonts w:ascii="Arial" w:eastAsia="Times New Roman" w:hAnsi="Arial" w:cs="Arial"/>
                <w:color w:val="000000"/>
              </w:rPr>
              <w:t>Forestburgh</w:t>
            </w:r>
            <w:proofErr w:type="spellEnd"/>
          </w:p>
        </w:tc>
      </w:tr>
    </w:tbl>
    <w:p w14:paraId="1EBD537D" w14:textId="77777777" w:rsidR="00F3298B" w:rsidRPr="00F3298B" w:rsidRDefault="00F3298B" w:rsidP="00F3298B">
      <w:pPr>
        <w:widowControl w:val="0"/>
        <w:tabs>
          <w:tab w:val="left" w:pos="601"/>
        </w:tabs>
        <w:autoSpaceDE w:val="0"/>
        <w:autoSpaceDN w:val="0"/>
        <w:spacing w:before="11" w:after="0" w:line="240" w:lineRule="auto"/>
        <w:ind w:left="540" w:right="117"/>
        <w:jc w:val="both"/>
        <w:rPr>
          <w:rFonts w:ascii="Arial" w:eastAsia="Arial" w:hAnsi="Arial" w:cs="Arial"/>
          <w:lang w:bidi="en-US"/>
        </w:rPr>
      </w:pPr>
    </w:p>
    <w:p w14:paraId="368FB3A9" w14:textId="3B9925C0" w:rsidR="007B3F2E" w:rsidRDefault="007B3F2E">
      <w:pPr>
        <w:rPr>
          <w:rFonts w:ascii="Arial" w:hAnsi="Arial" w:cs="Arial"/>
        </w:rPr>
      </w:pPr>
    </w:p>
    <w:sectPr w:rsidR="007B3F2E" w:rsidSect="00E865A3">
      <w:footerReference w:type="default" r:id="rId12"/>
      <w:footerReference w:type="first" r:id="rId13"/>
      <w:pgSz w:w="12240" w:h="15840"/>
      <w:pgMar w:top="900" w:right="1440" w:bottom="720" w:left="1440" w:header="720" w:footer="3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ADB2" w14:textId="77777777" w:rsidR="00026CBD" w:rsidRDefault="00026CBD" w:rsidP="00FC432B">
      <w:pPr>
        <w:spacing w:after="0" w:line="240" w:lineRule="auto"/>
      </w:pPr>
      <w:r>
        <w:separator/>
      </w:r>
    </w:p>
  </w:endnote>
  <w:endnote w:type="continuationSeparator" w:id="0">
    <w:p w14:paraId="48EE3EDB" w14:textId="77777777" w:rsidR="00026CBD" w:rsidRDefault="00026CBD"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903430"/>
      <w:docPartObj>
        <w:docPartGallery w:val="Page Numbers (Bottom of Page)"/>
        <w:docPartUnique/>
      </w:docPartObj>
    </w:sdtPr>
    <w:sdtEndPr>
      <w:rPr>
        <w:noProof/>
      </w:rPr>
    </w:sdtEndPr>
    <w:sdtContent>
      <w:p w14:paraId="6176E9C1" w14:textId="58593222" w:rsidR="00026CBD" w:rsidRDefault="00026CBD">
        <w:pPr>
          <w:pStyle w:val="Footer"/>
          <w:jc w:val="right"/>
        </w:pPr>
        <w:r>
          <w:fldChar w:fldCharType="begin"/>
        </w:r>
        <w:r>
          <w:instrText xml:space="preserve"> PAGE   \* MERGEFORMAT </w:instrText>
        </w:r>
        <w:r>
          <w:fldChar w:fldCharType="separate"/>
        </w:r>
        <w:r w:rsidR="006D0CFB">
          <w:rPr>
            <w:noProof/>
          </w:rPr>
          <w:t>5</w:t>
        </w:r>
        <w:r>
          <w:rPr>
            <w:noProof/>
          </w:rPr>
          <w:fldChar w:fldCharType="end"/>
        </w:r>
      </w:p>
    </w:sdtContent>
  </w:sdt>
  <w:p w14:paraId="4FDCE1F2" w14:textId="77777777" w:rsidR="00026CBD" w:rsidRDefault="00026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63807"/>
      <w:docPartObj>
        <w:docPartGallery w:val="Page Numbers (Bottom of Page)"/>
        <w:docPartUnique/>
      </w:docPartObj>
    </w:sdtPr>
    <w:sdtEndPr>
      <w:rPr>
        <w:noProof/>
      </w:rPr>
    </w:sdtEndPr>
    <w:sdtContent>
      <w:p w14:paraId="01FDF7E1" w14:textId="387BD34F" w:rsidR="00026CBD" w:rsidRDefault="00026CBD">
        <w:pPr>
          <w:pStyle w:val="Footer"/>
          <w:jc w:val="right"/>
        </w:pPr>
        <w:r>
          <w:fldChar w:fldCharType="begin"/>
        </w:r>
        <w:r>
          <w:instrText xml:space="preserve"> PAGE   \* MERGEFORMAT </w:instrText>
        </w:r>
        <w:r>
          <w:fldChar w:fldCharType="separate"/>
        </w:r>
        <w:r w:rsidR="006D0CFB">
          <w:rPr>
            <w:noProof/>
          </w:rPr>
          <w:t>1</w:t>
        </w:r>
        <w:r>
          <w:rPr>
            <w:noProof/>
          </w:rPr>
          <w:fldChar w:fldCharType="end"/>
        </w:r>
      </w:p>
    </w:sdtContent>
  </w:sdt>
  <w:p w14:paraId="3FF9CC5A" w14:textId="77777777" w:rsidR="00026CBD" w:rsidRDefault="00026CBD" w:rsidP="0018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3251" w14:textId="77777777" w:rsidR="00026CBD" w:rsidRDefault="00026CBD" w:rsidP="00FC432B">
      <w:pPr>
        <w:spacing w:after="0" w:line="240" w:lineRule="auto"/>
      </w:pPr>
      <w:r>
        <w:separator/>
      </w:r>
    </w:p>
  </w:footnote>
  <w:footnote w:type="continuationSeparator" w:id="0">
    <w:p w14:paraId="3DF18ECC" w14:textId="77777777" w:rsidR="00026CBD" w:rsidRDefault="00026CBD" w:rsidP="00FC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8A7"/>
    <w:multiLevelType w:val="hybridMultilevel"/>
    <w:tmpl w:val="C44C467A"/>
    <w:lvl w:ilvl="0" w:tplc="329E46D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97C798D"/>
    <w:multiLevelType w:val="hybridMultilevel"/>
    <w:tmpl w:val="E78EEB1E"/>
    <w:lvl w:ilvl="0" w:tplc="05946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73482"/>
    <w:multiLevelType w:val="hybridMultilevel"/>
    <w:tmpl w:val="09DC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96302"/>
    <w:multiLevelType w:val="hybridMultilevel"/>
    <w:tmpl w:val="C05E67E4"/>
    <w:lvl w:ilvl="0" w:tplc="0AB41696">
      <w:start w:val="1"/>
      <w:numFmt w:val="decimal"/>
      <w:lvlText w:val="%1."/>
      <w:lvlJc w:val="left"/>
      <w:pPr>
        <w:ind w:left="540" w:hanging="360"/>
      </w:pPr>
      <w:rPr>
        <w:rFonts w:ascii="Arial" w:eastAsia="Arial" w:hAnsi="Arial" w:cs="Arial" w:hint="default"/>
        <w:b/>
        <w:bCs/>
        <w:i w:val="0"/>
        <w:iCs w:val="0"/>
        <w:w w:val="99"/>
        <w:sz w:val="22"/>
        <w:szCs w:val="22"/>
        <w:lang w:val="en-US" w:eastAsia="en-US" w:bidi="en-US"/>
      </w:rPr>
    </w:lvl>
    <w:lvl w:ilvl="1" w:tplc="E0F0DA40">
      <w:start w:val="1"/>
      <w:numFmt w:val="upperLetter"/>
      <w:lvlText w:val="%2."/>
      <w:lvlJc w:val="left"/>
      <w:pPr>
        <w:ind w:left="720" w:hanging="360"/>
      </w:pPr>
      <w:rPr>
        <w:rFonts w:ascii="Arial" w:eastAsia="Arial" w:hAnsi="Arial" w:cs="Arial" w:hint="default"/>
        <w:w w:val="100"/>
        <w:sz w:val="24"/>
        <w:szCs w:val="24"/>
        <w:lang w:val="en-US" w:eastAsia="en-US" w:bidi="en-US"/>
      </w:rPr>
    </w:lvl>
    <w:lvl w:ilvl="2" w:tplc="67627686">
      <w:numFmt w:val="bullet"/>
      <w:lvlText w:val=""/>
      <w:lvlJc w:val="left"/>
      <w:pPr>
        <w:ind w:left="1260" w:hanging="360"/>
      </w:pPr>
      <w:rPr>
        <w:rFonts w:ascii="Symbol" w:eastAsia="Symbol" w:hAnsi="Symbol" w:cs="Symbol" w:hint="default"/>
        <w:w w:val="100"/>
        <w:sz w:val="24"/>
        <w:szCs w:val="24"/>
        <w:lang w:val="en-US" w:eastAsia="en-US" w:bidi="en-US"/>
      </w:rPr>
    </w:lvl>
    <w:lvl w:ilvl="3" w:tplc="6E7E3456">
      <w:numFmt w:val="bullet"/>
      <w:lvlText w:val="•"/>
      <w:lvlJc w:val="left"/>
      <w:pPr>
        <w:ind w:left="1260" w:hanging="360"/>
      </w:pPr>
      <w:rPr>
        <w:rFonts w:hint="default"/>
        <w:lang w:val="en-US" w:eastAsia="en-US" w:bidi="en-US"/>
      </w:rPr>
    </w:lvl>
    <w:lvl w:ilvl="4" w:tplc="159EBD68">
      <w:numFmt w:val="bullet"/>
      <w:lvlText w:val="•"/>
      <w:lvlJc w:val="left"/>
      <w:pPr>
        <w:ind w:left="2460" w:hanging="360"/>
      </w:pPr>
      <w:rPr>
        <w:rFonts w:hint="default"/>
        <w:lang w:val="en-US" w:eastAsia="en-US" w:bidi="en-US"/>
      </w:rPr>
    </w:lvl>
    <w:lvl w:ilvl="5" w:tplc="C4AED6E6">
      <w:numFmt w:val="bullet"/>
      <w:lvlText w:val="•"/>
      <w:lvlJc w:val="left"/>
      <w:pPr>
        <w:ind w:left="3660" w:hanging="360"/>
      </w:pPr>
      <w:rPr>
        <w:rFonts w:hint="default"/>
        <w:lang w:val="en-US" w:eastAsia="en-US" w:bidi="en-US"/>
      </w:rPr>
    </w:lvl>
    <w:lvl w:ilvl="6" w:tplc="D78A6E4A">
      <w:numFmt w:val="bullet"/>
      <w:lvlText w:val="•"/>
      <w:lvlJc w:val="left"/>
      <w:pPr>
        <w:ind w:left="4860" w:hanging="360"/>
      </w:pPr>
      <w:rPr>
        <w:rFonts w:hint="default"/>
        <w:lang w:val="en-US" w:eastAsia="en-US" w:bidi="en-US"/>
      </w:rPr>
    </w:lvl>
    <w:lvl w:ilvl="7" w:tplc="7A3CED36">
      <w:numFmt w:val="bullet"/>
      <w:lvlText w:val="•"/>
      <w:lvlJc w:val="left"/>
      <w:pPr>
        <w:ind w:left="6060" w:hanging="360"/>
      </w:pPr>
      <w:rPr>
        <w:rFonts w:hint="default"/>
        <w:lang w:val="en-US" w:eastAsia="en-US" w:bidi="en-US"/>
      </w:rPr>
    </w:lvl>
    <w:lvl w:ilvl="8" w:tplc="DD9C52F0">
      <w:numFmt w:val="bullet"/>
      <w:lvlText w:val="•"/>
      <w:lvlJc w:val="left"/>
      <w:pPr>
        <w:ind w:left="7260" w:hanging="360"/>
      </w:pPr>
      <w:rPr>
        <w:rFonts w:hint="default"/>
        <w:lang w:val="en-US" w:eastAsia="en-US" w:bidi="en-US"/>
      </w:rPr>
    </w:lvl>
  </w:abstractNum>
  <w:num w:numId="1" w16cid:durableId="1545747294">
    <w:abstractNumId w:val="1"/>
  </w:num>
  <w:num w:numId="2" w16cid:durableId="631205844">
    <w:abstractNumId w:val="2"/>
  </w:num>
  <w:num w:numId="3" w16cid:durableId="943155086">
    <w:abstractNumId w:val="3"/>
  </w:num>
  <w:num w:numId="4" w16cid:durableId="181332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B7"/>
    <w:rsid w:val="0000591B"/>
    <w:rsid w:val="00006DF6"/>
    <w:rsid w:val="0002054A"/>
    <w:rsid w:val="0002492E"/>
    <w:rsid w:val="00025401"/>
    <w:rsid w:val="00026CBD"/>
    <w:rsid w:val="00053830"/>
    <w:rsid w:val="000679D7"/>
    <w:rsid w:val="000763BF"/>
    <w:rsid w:val="000772D4"/>
    <w:rsid w:val="00080FCB"/>
    <w:rsid w:val="00082895"/>
    <w:rsid w:val="00082E44"/>
    <w:rsid w:val="00090649"/>
    <w:rsid w:val="00091DCC"/>
    <w:rsid w:val="000B3DFC"/>
    <w:rsid w:val="000C2BF5"/>
    <w:rsid w:val="00106319"/>
    <w:rsid w:val="001075A8"/>
    <w:rsid w:val="00165937"/>
    <w:rsid w:val="001768AE"/>
    <w:rsid w:val="00177C4F"/>
    <w:rsid w:val="00177E29"/>
    <w:rsid w:val="00183E6E"/>
    <w:rsid w:val="001A0EC0"/>
    <w:rsid w:val="001B6086"/>
    <w:rsid w:val="001B7324"/>
    <w:rsid w:val="001C4E9C"/>
    <w:rsid w:val="001D45DA"/>
    <w:rsid w:val="001D750F"/>
    <w:rsid w:val="001E18D6"/>
    <w:rsid w:val="001F7145"/>
    <w:rsid w:val="002530FB"/>
    <w:rsid w:val="00266625"/>
    <w:rsid w:val="00275557"/>
    <w:rsid w:val="00292C44"/>
    <w:rsid w:val="00293259"/>
    <w:rsid w:val="002B1897"/>
    <w:rsid w:val="002B4FB9"/>
    <w:rsid w:val="00304196"/>
    <w:rsid w:val="00304BA3"/>
    <w:rsid w:val="003255F5"/>
    <w:rsid w:val="00325704"/>
    <w:rsid w:val="0033484A"/>
    <w:rsid w:val="00352E1A"/>
    <w:rsid w:val="00354667"/>
    <w:rsid w:val="003817D6"/>
    <w:rsid w:val="0038405C"/>
    <w:rsid w:val="00384D33"/>
    <w:rsid w:val="003873FD"/>
    <w:rsid w:val="003952F4"/>
    <w:rsid w:val="003B3702"/>
    <w:rsid w:val="003B4F60"/>
    <w:rsid w:val="003D3749"/>
    <w:rsid w:val="004032AF"/>
    <w:rsid w:val="00403E6C"/>
    <w:rsid w:val="00405C2A"/>
    <w:rsid w:val="00420EC2"/>
    <w:rsid w:val="00430066"/>
    <w:rsid w:val="00433B9D"/>
    <w:rsid w:val="00436322"/>
    <w:rsid w:val="00460677"/>
    <w:rsid w:val="004734F6"/>
    <w:rsid w:val="004803F7"/>
    <w:rsid w:val="004870F0"/>
    <w:rsid w:val="004923C4"/>
    <w:rsid w:val="00494BCA"/>
    <w:rsid w:val="00495F65"/>
    <w:rsid w:val="004A2A3F"/>
    <w:rsid w:val="004C532F"/>
    <w:rsid w:val="004C6496"/>
    <w:rsid w:val="004E21EB"/>
    <w:rsid w:val="004E34EB"/>
    <w:rsid w:val="004E6EF0"/>
    <w:rsid w:val="00501C4E"/>
    <w:rsid w:val="00506BBE"/>
    <w:rsid w:val="00507181"/>
    <w:rsid w:val="00522430"/>
    <w:rsid w:val="00536055"/>
    <w:rsid w:val="00546CD7"/>
    <w:rsid w:val="005526C6"/>
    <w:rsid w:val="005535E0"/>
    <w:rsid w:val="00565E44"/>
    <w:rsid w:val="00572049"/>
    <w:rsid w:val="005806E9"/>
    <w:rsid w:val="005A06E3"/>
    <w:rsid w:val="005A12D9"/>
    <w:rsid w:val="005F77DF"/>
    <w:rsid w:val="00623C51"/>
    <w:rsid w:val="00636F41"/>
    <w:rsid w:val="00656B7D"/>
    <w:rsid w:val="00660279"/>
    <w:rsid w:val="00666EEE"/>
    <w:rsid w:val="00683E36"/>
    <w:rsid w:val="006856E7"/>
    <w:rsid w:val="00687269"/>
    <w:rsid w:val="006D0CFB"/>
    <w:rsid w:val="00703701"/>
    <w:rsid w:val="00722543"/>
    <w:rsid w:val="007355B3"/>
    <w:rsid w:val="00757465"/>
    <w:rsid w:val="00757E4B"/>
    <w:rsid w:val="007654BB"/>
    <w:rsid w:val="007709BE"/>
    <w:rsid w:val="00772361"/>
    <w:rsid w:val="00777B88"/>
    <w:rsid w:val="0078132A"/>
    <w:rsid w:val="007926B7"/>
    <w:rsid w:val="00795483"/>
    <w:rsid w:val="007A654E"/>
    <w:rsid w:val="007B3760"/>
    <w:rsid w:val="007B3F2E"/>
    <w:rsid w:val="007C71AE"/>
    <w:rsid w:val="007D1FD5"/>
    <w:rsid w:val="007D2E91"/>
    <w:rsid w:val="007D6FB2"/>
    <w:rsid w:val="007E524F"/>
    <w:rsid w:val="007F53B7"/>
    <w:rsid w:val="007F5413"/>
    <w:rsid w:val="0080288B"/>
    <w:rsid w:val="008101B3"/>
    <w:rsid w:val="00817F53"/>
    <w:rsid w:val="0083376C"/>
    <w:rsid w:val="0083636D"/>
    <w:rsid w:val="0085431B"/>
    <w:rsid w:val="00867F49"/>
    <w:rsid w:val="008725C8"/>
    <w:rsid w:val="00873F48"/>
    <w:rsid w:val="00877659"/>
    <w:rsid w:val="00885A63"/>
    <w:rsid w:val="00887D8E"/>
    <w:rsid w:val="008972A2"/>
    <w:rsid w:val="008A4C5E"/>
    <w:rsid w:val="008A7809"/>
    <w:rsid w:val="008B1A29"/>
    <w:rsid w:val="008B3775"/>
    <w:rsid w:val="008E340A"/>
    <w:rsid w:val="008E539F"/>
    <w:rsid w:val="008F2D48"/>
    <w:rsid w:val="008F4F5E"/>
    <w:rsid w:val="008F757C"/>
    <w:rsid w:val="00904E59"/>
    <w:rsid w:val="0091488F"/>
    <w:rsid w:val="00914CC9"/>
    <w:rsid w:val="0093486C"/>
    <w:rsid w:val="00944B44"/>
    <w:rsid w:val="009474CA"/>
    <w:rsid w:val="00951656"/>
    <w:rsid w:val="00954CA6"/>
    <w:rsid w:val="00970F59"/>
    <w:rsid w:val="009725B5"/>
    <w:rsid w:val="00984996"/>
    <w:rsid w:val="009937A8"/>
    <w:rsid w:val="00997804"/>
    <w:rsid w:val="009D4DCA"/>
    <w:rsid w:val="009D5DA1"/>
    <w:rsid w:val="009E22D8"/>
    <w:rsid w:val="00A47BD1"/>
    <w:rsid w:val="00AA27FB"/>
    <w:rsid w:val="00AA2D29"/>
    <w:rsid w:val="00AB2BC0"/>
    <w:rsid w:val="00AB5493"/>
    <w:rsid w:val="00AD3743"/>
    <w:rsid w:val="00AE3E24"/>
    <w:rsid w:val="00AE4C58"/>
    <w:rsid w:val="00B033C0"/>
    <w:rsid w:val="00B33F0B"/>
    <w:rsid w:val="00B370E2"/>
    <w:rsid w:val="00B80C48"/>
    <w:rsid w:val="00B82D15"/>
    <w:rsid w:val="00B91A50"/>
    <w:rsid w:val="00BA0BC1"/>
    <w:rsid w:val="00BC10EB"/>
    <w:rsid w:val="00BC7836"/>
    <w:rsid w:val="00BE06B6"/>
    <w:rsid w:val="00BE48DA"/>
    <w:rsid w:val="00BE6252"/>
    <w:rsid w:val="00C04D66"/>
    <w:rsid w:val="00C05C48"/>
    <w:rsid w:val="00C27517"/>
    <w:rsid w:val="00C33AB9"/>
    <w:rsid w:val="00C5398D"/>
    <w:rsid w:val="00C57641"/>
    <w:rsid w:val="00C62F31"/>
    <w:rsid w:val="00C67C17"/>
    <w:rsid w:val="00CA2094"/>
    <w:rsid w:val="00CB1349"/>
    <w:rsid w:val="00CB1A01"/>
    <w:rsid w:val="00CB4D3D"/>
    <w:rsid w:val="00D02CCC"/>
    <w:rsid w:val="00D04A85"/>
    <w:rsid w:val="00D06D9A"/>
    <w:rsid w:val="00D077DC"/>
    <w:rsid w:val="00D10AFD"/>
    <w:rsid w:val="00D257D0"/>
    <w:rsid w:val="00D3595D"/>
    <w:rsid w:val="00D35A84"/>
    <w:rsid w:val="00D42445"/>
    <w:rsid w:val="00D46B86"/>
    <w:rsid w:val="00D52671"/>
    <w:rsid w:val="00D56E56"/>
    <w:rsid w:val="00D6417C"/>
    <w:rsid w:val="00D666E3"/>
    <w:rsid w:val="00D86410"/>
    <w:rsid w:val="00DD4D90"/>
    <w:rsid w:val="00DE54FE"/>
    <w:rsid w:val="00DF0866"/>
    <w:rsid w:val="00DF3987"/>
    <w:rsid w:val="00E02294"/>
    <w:rsid w:val="00E15666"/>
    <w:rsid w:val="00E3364A"/>
    <w:rsid w:val="00E5180A"/>
    <w:rsid w:val="00E56A68"/>
    <w:rsid w:val="00E57D51"/>
    <w:rsid w:val="00E6455E"/>
    <w:rsid w:val="00E65A8E"/>
    <w:rsid w:val="00E70DEC"/>
    <w:rsid w:val="00E837B8"/>
    <w:rsid w:val="00E865A3"/>
    <w:rsid w:val="00E91CA6"/>
    <w:rsid w:val="00E91D2C"/>
    <w:rsid w:val="00EA7D7E"/>
    <w:rsid w:val="00EC75CD"/>
    <w:rsid w:val="00ED50B0"/>
    <w:rsid w:val="00EE6F1D"/>
    <w:rsid w:val="00F056BD"/>
    <w:rsid w:val="00F3298B"/>
    <w:rsid w:val="00F37F01"/>
    <w:rsid w:val="00F4150F"/>
    <w:rsid w:val="00F505B2"/>
    <w:rsid w:val="00F62006"/>
    <w:rsid w:val="00F80AFB"/>
    <w:rsid w:val="00F91804"/>
    <w:rsid w:val="00F9196D"/>
    <w:rsid w:val="00FA0EC7"/>
    <w:rsid w:val="00FA12E8"/>
    <w:rsid w:val="00FA1FEA"/>
    <w:rsid w:val="00FA729B"/>
    <w:rsid w:val="00FC432B"/>
    <w:rsid w:val="00FD354E"/>
    <w:rsid w:val="00FE03EB"/>
    <w:rsid w:val="00FE30C3"/>
    <w:rsid w:val="00FE63C4"/>
    <w:rsid w:val="00FF0410"/>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F9CC41"/>
  <w15:docId w15:val="{3234919D-7E63-4878-B545-AAB85FC1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uiPriority w:val="99"/>
    <w:rsid w:val="00546CD7"/>
    <w:rPr>
      <w:color w:val="0000FF" w:themeColor="hyperlink"/>
      <w:u w:val="single"/>
    </w:rPr>
  </w:style>
  <w:style w:type="character" w:styleId="FollowedHyperlink">
    <w:name w:val="FollowedHyperlink"/>
    <w:basedOn w:val="DefaultParagraphFont"/>
    <w:uiPriority w:val="99"/>
    <w:semiHidden/>
    <w:unhideWhenUsed/>
    <w:rsid w:val="005806E9"/>
    <w:rPr>
      <w:color w:val="800080" w:themeColor="followedHyperlink"/>
      <w:u w:val="single"/>
    </w:rPr>
  </w:style>
  <w:style w:type="paragraph" w:styleId="ListParagraph">
    <w:name w:val="List Paragraph"/>
    <w:basedOn w:val="Normal"/>
    <w:uiPriority w:val="34"/>
    <w:qFormat/>
    <w:rsid w:val="00D02CCC"/>
    <w:pPr>
      <w:ind w:left="720"/>
      <w:contextualSpacing/>
    </w:pPr>
  </w:style>
  <w:style w:type="numbering" w:customStyle="1" w:styleId="NoList1">
    <w:name w:val="No List1"/>
    <w:next w:val="NoList"/>
    <w:uiPriority w:val="99"/>
    <w:semiHidden/>
    <w:unhideWhenUsed/>
    <w:rsid w:val="007B3F2E"/>
  </w:style>
  <w:style w:type="character" w:styleId="CommentReference">
    <w:name w:val="annotation reference"/>
    <w:basedOn w:val="DefaultParagraphFont"/>
    <w:uiPriority w:val="99"/>
    <w:semiHidden/>
    <w:unhideWhenUsed/>
    <w:rsid w:val="00997804"/>
    <w:rPr>
      <w:sz w:val="16"/>
      <w:szCs w:val="16"/>
    </w:rPr>
  </w:style>
  <w:style w:type="paragraph" w:styleId="CommentText">
    <w:name w:val="annotation text"/>
    <w:basedOn w:val="Normal"/>
    <w:link w:val="CommentTextChar"/>
    <w:uiPriority w:val="99"/>
    <w:unhideWhenUsed/>
    <w:rsid w:val="00997804"/>
    <w:pPr>
      <w:spacing w:line="240" w:lineRule="auto"/>
    </w:pPr>
    <w:rPr>
      <w:sz w:val="20"/>
      <w:szCs w:val="20"/>
    </w:rPr>
  </w:style>
  <w:style w:type="character" w:customStyle="1" w:styleId="CommentTextChar">
    <w:name w:val="Comment Text Char"/>
    <w:basedOn w:val="DefaultParagraphFont"/>
    <w:link w:val="CommentText"/>
    <w:uiPriority w:val="99"/>
    <w:rsid w:val="00997804"/>
    <w:rPr>
      <w:sz w:val="20"/>
      <w:szCs w:val="20"/>
    </w:rPr>
  </w:style>
  <w:style w:type="paragraph" w:styleId="CommentSubject">
    <w:name w:val="annotation subject"/>
    <w:basedOn w:val="CommentText"/>
    <w:next w:val="CommentText"/>
    <w:link w:val="CommentSubjectChar"/>
    <w:uiPriority w:val="99"/>
    <w:semiHidden/>
    <w:unhideWhenUsed/>
    <w:rsid w:val="00997804"/>
    <w:rPr>
      <w:b/>
      <w:bCs/>
    </w:rPr>
  </w:style>
  <w:style w:type="character" w:customStyle="1" w:styleId="CommentSubjectChar">
    <w:name w:val="Comment Subject Char"/>
    <w:basedOn w:val="CommentTextChar"/>
    <w:link w:val="CommentSubject"/>
    <w:uiPriority w:val="99"/>
    <w:semiHidden/>
    <w:rsid w:val="00997804"/>
    <w:rPr>
      <w:b/>
      <w:bCs/>
      <w:sz w:val="20"/>
      <w:szCs w:val="20"/>
    </w:rPr>
  </w:style>
  <w:style w:type="paragraph" w:styleId="Revision">
    <w:name w:val="Revision"/>
    <w:hidden/>
    <w:uiPriority w:val="99"/>
    <w:semiHidden/>
    <w:rsid w:val="00777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62066">
      <w:bodyDiv w:val="1"/>
      <w:marLeft w:val="0"/>
      <w:marRight w:val="0"/>
      <w:marTop w:val="0"/>
      <w:marBottom w:val="0"/>
      <w:divBdr>
        <w:top w:val="none" w:sz="0" w:space="0" w:color="auto"/>
        <w:left w:val="none" w:sz="0" w:space="0" w:color="auto"/>
        <w:bottom w:val="none" w:sz="0" w:space="0" w:color="auto"/>
        <w:right w:val="none" w:sz="0" w:space="0" w:color="auto"/>
      </w:divBdr>
    </w:div>
    <w:div w:id="1612393711">
      <w:bodyDiv w:val="1"/>
      <w:marLeft w:val="0"/>
      <w:marRight w:val="0"/>
      <w:marTop w:val="0"/>
      <w:marBottom w:val="0"/>
      <w:divBdr>
        <w:top w:val="none" w:sz="0" w:space="0" w:color="auto"/>
        <w:left w:val="none" w:sz="0" w:space="0" w:color="auto"/>
        <w:bottom w:val="none" w:sz="0" w:space="0" w:color="auto"/>
        <w:right w:val="none" w:sz="0" w:space="0" w:color="auto"/>
      </w:divBdr>
    </w:div>
    <w:div w:id="2033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0BD36D91A574683A3511C0EA5A1D1" ma:contentTypeVersion="1" ma:contentTypeDescription="Create a new document." ma:contentTypeScope="" ma:versionID="416bdac8c067208875ddca87f479a7c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F66D-6FDE-47EA-9246-5F73DAA7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3.xml><?xml version="1.0" encoding="utf-8"?>
<ds:datastoreItem xmlns:ds="http://schemas.openxmlformats.org/officeDocument/2006/customXml" ds:itemID="{AAAA4FE5-0C2F-4123-89A9-8FCE851FFEB6}">
  <ds:schemaRef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9AAA73B3-078A-4AC5-A87B-A58C7E23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Warner, Jennifer</dc:creator>
  <cp:lastModifiedBy>Brownell, Kevin (TAX)</cp:lastModifiedBy>
  <cp:revision>2</cp:revision>
  <cp:lastPrinted>2016-01-27T19:07:00Z</cp:lastPrinted>
  <dcterms:created xsi:type="dcterms:W3CDTF">2024-12-09T17:10:00Z</dcterms:created>
  <dcterms:modified xsi:type="dcterms:W3CDTF">2024-12-09T17:10:00Z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0x01010062F0BD36D91A574683A3511C0EA5A1D1</vt:lpwstr>
  </property>
</Properties>
</file>